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745D" w:rsidRDefault="009A745D" w:rsidP="009A745D">
      <w:pPr>
        <w:widowControl w:val="0"/>
        <w:spacing w:before="45" w:after="0" w:line="240" w:lineRule="auto"/>
        <w:ind w:hanging="993"/>
        <w:jc w:val="center"/>
        <w:rPr>
          <w:rFonts w:ascii="Tahoma" w:eastAsia="Arial Narrow" w:hAnsi="Tahoma" w:cs="Tahoma"/>
          <w:b/>
          <w:color w:val="0070C0"/>
          <w:w w:val="85"/>
          <w:sz w:val="20"/>
          <w:szCs w:val="20"/>
          <w:lang w:val="en-GB" w:eastAsia="en-GB" w:bidi="en-GB"/>
        </w:rPr>
      </w:pPr>
      <w:r>
        <w:rPr>
          <w:rFonts w:ascii="Tahoma" w:eastAsia="Arial Narrow" w:hAnsi="Tahoma" w:cs="Tahoma"/>
          <w:b/>
          <w:color w:val="0070C0"/>
          <w:w w:val="85"/>
          <w:sz w:val="20"/>
          <w:szCs w:val="20"/>
          <w:lang w:val="en-GB" w:eastAsia="en-GB" w:bidi="en-GB"/>
        </w:rPr>
        <w:t>TÜKETİCİ HUKUKU KAPSAMINDA TÜKETİCİ MAHKEMELERİNDE GÖRÜLEN UYUŞMAZLIKLARDA</w:t>
      </w:r>
    </w:p>
    <w:p w:rsidR="009A745D" w:rsidRDefault="009A745D" w:rsidP="009A745D">
      <w:pPr>
        <w:widowControl w:val="0"/>
        <w:spacing w:before="45" w:after="0" w:line="240" w:lineRule="auto"/>
        <w:ind w:hanging="993"/>
        <w:jc w:val="center"/>
        <w:rPr>
          <w:rFonts w:ascii="Tahoma" w:eastAsia="Arial Narrow" w:hAnsi="Tahoma" w:cs="Tahoma"/>
          <w:b/>
          <w:color w:val="0070C0"/>
          <w:sz w:val="20"/>
          <w:szCs w:val="20"/>
          <w:lang w:val="en-GB" w:eastAsia="en-GB" w:bidi="en-GB"/>
        </w:rPr>
      </w:pPr>
      <w:r>
        <w:rPr>
          <w:rFonts w:ascii="Tahoma" w:eastAsia="Arial Narrow" w:hAnsi="Tahoma" w:cs="Tahoma"/>
          <w:b/>
          <w:color w:val="0070C0"/>
          <w:w w:val="85"/>
          <w:sz w:val="20"/>
          <w:szCs w:val="20"/>
          <w:lang w:val="en-GB" w:eastAsia="en-GB" w:bidi="en-GB"/>
        </w:rPr>
        <w:t>DAVA ŞARTI ARABULUCULUK BİLGİLENDİRME TUTANAĞI</w:t>
      </w:r>
    </w:p>
    <w:p w:rsidR="009A745D" w:rsidRDefault="009A745D" w:rsidP="009A745D">
      <w:pPr>
        <w:widowControl w:val="0"/>
        <w:spacing w:before="45" w:after="0" w:line="240" w:lineRule="auto"/>
        <w:ind w:hanging="993"/>
        <w:jc w:val="center"/>
        <w:rPr>
          <w:rFonts w:ascii="Tahoma" w:eastAsia="Arial Narrow" w:hAnsi="Tahoma" w:cs="Tahoma"/>
          <w:b/>
          <w:color w:val="0070C0"/>
          <w:sz w:val="20"/>
          <w:szCs w:val="20"/>
          <w:lang w:val="en-GB" w:eastAsia="en-GB" w:bidi="en-GB"/>
        </w:rPr>
      </w:pPr>
      <w:r>
        <w:rPr>
          <w:rFonts w:ascii="Tahoma" w:eastAsia="Arial Narrow" w:hAnsi="Tahoma" w:cs="Tahoma"/>
          <w:b/>
          <w:color w:val="231F20"/>
          <w:w w:val="85"/>
          <w:sz w:val="20"/>
          <w:szCs w:val="20"/>
          <w:lang w:val="en-GB" w:eastAsia="en-GB" w:bidi="en-GB"/>
        </w:rPr>
        <w:t>-Arabuluculuk Sürecine İlişkin Bilgilendirme Tutanağı-</w:t>
      </w:r>
    </w:p>
    <w:p w:rsidR="009A745D" w:rsidRDefault="009A745D" w:rsidP="009A745D">
      <w:pPr>
        <w:widowControl w:val="0"/>
        <w:spacing w:before="210" w:after="0" w:line="288" w:lineRule="auto"/>
        <w:ind w:hanging="142"/>
        <w:jc w:val="both"/>
        <w:rPr>
          <w:rFonts w:ascii="Tahoma" w:eastAsia="Arial Narrow" w:hAnsi="Tahoma" w:cs="Tahoma"/>
          <w:color w:val="231F20"/>
          <w:w w:val="120"/>
          <w:sz w:val="20"/>
          <w:szCs w:val="20"/>
          <w:lang w:val="en-GB" w:eastAsia="en-GB" w:bidi="en-GB"/>
        </w:rPr>
      </w:pPr>
      <w:r>
        <w:rPr>
          <w:rFonts w:ascii="Tahoma" w:eastAsia="Arial Narrow" w:hAnsi="Tahoma" w:cs="Tahoma"/>
          <w:color w:val="231F20"/>
          <w:w w:val="120"/>
          <w:sz w:val="20"/>
          <w:szCs w:val="20"/>
          <w:lang w:val="en-GB" w:eastAsia="en-GB" w:bidi="en-GB"/>
        </w:rPr>
        <w:t xml:space="preserve">  ..... /..... /..... tarihinde aşağıda ad ve unvanları yazılı taraflar birlikte/ayrı ayrı 6325 sayılı Hukuk Uyuşmazlıklarında Arabuluculuk Kanunu gereğince arabuluculuk sürecine ilişkin olarak aşağıdaki konularda, davet mektubu ekinde yazılı olarak ve toplantıda katılımlarıyla sözlü olarak bilgilendirilmişlerdir:</w:t>
      </w:r>
    </w:p>
    <w:p w:rsidR="009A745D" w:rsidRDefault="009A745D" w:rsidP="009A745D">
      <w:pPr>
        <w:widowControl w:val="0"/>
        <w:spacing w:before="210" w:after="0" w:line="288" w:lineRule="auto"/>
        <w:jc w:val="both"/>
        <w:rPr>
          <w:rFonts w:ascii="Tahoma" w:eastAsia="Arial Narrow" w:hAnsi="Tahoma" w:cs="Tahoma"/>
          <w:b/>
          <w:color w:val="231F20"/>
          <w:w w:val="120"/>
          <w:sz w:val="20"/>
          <w:szCs w:val="20"/>
          <w:lang w:val="en-GB" w:eastAsia="en-GB" w:bidi="en-GB"/>
        </w:rPr>
      </w:pPr>
      <w:r>
        <w:rPr>
          <w:rFonts w:ascii="Tahoma" w:eastAsia="Arial Narrow" w:hAnsi="Tahoma" w:cs="Tahoma"/>
          <w:b/>
          <w:color w:val="231F20"/>
          <w:w w:val="120"/>
          <w:sz w:val="20"/>
          <w:szCs w:val="20"/>
          <w:lang w:val="en-GB" w:eastAsia="en-GB" w:bidi="en-GB"/>
        </w:rPr>
        <w:t>GENEL BİLGİLER:</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rPr>
          <w:rFonts w:ascii="Tahoma" w:eastAsia="Arial Narrow" w:hAnsi="Tahoma" w:cs="Tahoma"/>
          <w:color w:val="231F20"/>
          <w:w w:val="120"/>
          <w:sz w:val="20"/>
          <w:szCs w:val="20"/>
          <w:lang w:val="en-GB" w:eastAsia="en-GB" w:bidi="en-GB"/>
        </w:rPr>
        <w:t>Taraflar, arabulucuya başvurmak, süreci devam ettirmek, sonuçlandırmak veya bu süreçten vazgeçmek konusunda tamamen serbesttirler. (Ek cümle: 6/12/20187155/22 md.)  Şu kadar ki dava şartı olarak arabuluculuğa ilişkin 18/A maddesi hükmü saklıdır. Taraflar zorla bu sürecin içine dâhil edilemeyecekleri gibi her aşamada uyuşmazlığı arabuluculuk yoluyla sonuçlandırmaktan da</w:t>
      </w:r>
      <w:r>
        <w:rPr>
          <w:rFonts w:ascii="Tahoma" w:eastAsia="Arial Narrow" w:hAnsi="Tahoma" w:cs="Tahoma"/>
          <w:color w:val="231F20"/>
          <w:spacing w:val="-15"/>
          <w:w w:val="120"/>
          <w:sz w:val="20"/>
          <w:szCs w:val="20"/>
          <w:lang w:val="en-GB" w:eastAsia="en-GB" w:bidi="en-GB"/>
        </w:rPr>
        <w:t xml:space="preserve"> </w:t>
      </w:r>
      <w:r>
        <w:rPr>
          <w:rFonts w:ascii="Tahoma" w:eastAsia="Arial Narrow" w:hAnsi="Tahoma" w:cs="Tahoma"/>
          <w:color w:val="231F20"/>
          <w:w w:val="120"/>
          <w:sz w:val="20"/>
          <w:szCs w:val="20"/>
          <w:lang w:val="en-GB" w:eastAsia="en-GB" w:bidi="en-GB"/>
        </w:rPr>
        <w:t>vazgeçebilirler. Taraflar, gerek arabulucuya başvururken gerekse süreç boyunca eşit haklara sahiptirler. Taraflardan biri arabuluculuk sürecinin dışında</w:t>
      </w:r>
      <w:r>
        <w:rPr>
          <w:rFonts w:ascii="Tahoma" w:eastAsia="Arial Narrow" w:hAnsi="Tahoma" w:cs="Tahoma"/>
          <w:color w:val="231F20"/>
          <w:spacing w:val="12"/>
          <w:w w:val="120"/>
          <w:sz w:val="20"/>
          <w:szCs w:val="20"/>
          <w:lang w:val="en-GB" w:eastAsia="en-GB" w:bidi="en-GB"/>
        </w:rPr>
        <w:t xml:space="preserve"> </w:t>
      </w:r>
      <w:r>
        <w:rPr>
          <w:rFonts w:ascii="Tahoma" w:eastAsia="Arial Narrow" w:hAnsi="Tahoma" w:cs="Tahoma"/>
          <w:color w:val="231F20"/>
          <w:w w:val="120"/>
          <w:sz w:val="20"/>
          <w:szCs w:val="20"/>
          <w:lang w:val="en-GB" w:eastAsia="en-GB" w:bidi="en-GB"/>
        </w:rPr>
        <w:t>bırakılamayacağı</w:t>
      </w:r>
      <w:r>
        <w:rPr>
          <w:rFonts w:ascii="Tahoma" w:eastAsia="Arial Narrow" w:hAnsi="Tahoma" w:cs="Tahoma"/>
          <w:color w:val="231F20"/>
          <w:spacing w:val="-11"/>
          <w:w w:val="120"/>
          <w:sz w:val="20"/>
          <w:szCs w:val="20"/>
          <w:lang w:val="en-GB" w:eastAsia="en-GB" w:bidi="en-GB"/>
        </w:rPr>
        <w:t xml:space="preserve"> </w:t>
      </w:r>
      <w:r>
        <w:rPr>
          <w:rFonts w:ascii="Tahoma" w:eastAsia="Arial Narrow" w:hAnsi="Tahoma" w:cs="Tahoma"/>
          <w:color w:val="231F20"/>
          <w:w w:val="120"/>
          <w:sz w:val="20"/>
          <w:szCs w:val="20"/>
          <w:lang w:val="en-GB" w:eastAsia="en-GB" w:bidi="en-GB"/>
        </w:rPr>
        <w:t>gibi</w:t>
      </w:r>
      <w:r>
        <w:rPr>
          <w:rFonts w:ascii="Tahoma" w:eastAsia="Arial Narrow" w:hAnsi="Tahoma" w:cs="Tahoma"/>
          <w:color w:val="231F20"/>
          <w:spacing w:val="-11"/>
          <w:w w:val="120"/>
          <w:sz w:val="20"/>
          <w:szCs w:val="20"/>
          <w:lang w:val="en-GB" w:eastAsia="en-GB" w:bidi="en-GB"/>
        </w:rPr>
        <w:t xml:space="preserve"> </w:t>
      </w:r>
      <w:r>
        <w:rPr>
          <w:rFonts w:ascii="Tahoma" w:eastAsia="Arial Narrow" w:hAnsi="Tahoma" w:cs="Tahoma"/>
          <w:color w:val="231F20"/>
          <w:w w:val="120"/>
          <w:sz w:val="20"/>
          <w:szCs w:val="20"/>
          <w:lang w:val="en-GB" w:eastAsia="en-GB" w:bidi="en-GB"/>
        </w:rPr>
        <w:t>söz</w:t>
      </w:r>
      <w:r>
        <w:rPr>
          <w:rFonts w:ascii="Tahoma" w:eastAsia="Arial Narrow" w:hAnsi="Tahoma" w:cs="Tahoma"/>
          <w:color w:val="231F20"/>
          <w:spacing w:val="-11"/>
          <w:w w:val="120"/>
          <w:sz w:val="20"/>
          <w:szCs w:val="20"/>
          <w:lang w:val="en-GB" w:eastAsia="en-GB" w:bidi="en-GB"/>
        </w:rPr>
        <w:t xml:space="preserve"> </w:t>
      </w:r>
      <w:r>
        <w:rPr>
          <w:rFonts w:ascii="Tahoma" w:eastAsia="Arial Narrow" w:hAnsi="Tahoma" w:cs="Tahoma"/>
          <w:color w:val="231F20"/>
          <w:w w:val="120"/>
          <w:sz w:val="20"/>
          <w:szCs w:val="20"/>
          <w:lang w:val="en-GB" w:eastAsia="en-GB" w:bidi="en-GB"/>
        </w:rPr>
        <w:t>hakkı</w:t>
      </w:r>
      <w:r>
        <w:rPr>
          <w:rFonts w:ascii="Tahoma" w:eastAsia="Arial Narrow" w:hAnsi="Tahoma" w:cs="Tahoma"/>
          <w:color w:val="231F20"/>
          <w:spacing w:val="-11"/>
          <w:w w:val="120"/>
          <w:sz w:val="20"/>
          <w:szCs w:val="20"/>
          <w:lang w:val="en-GB" w:eastAsia="en-GB" w:bidi="en-GB"/>
        </w:rPr>
        <w:t xml:space="preserve"> </w:t>
      </w:r>
      <w:r>
        <w:rPr>
          <w:rFonts w:ascii="Tahoma" w:eastAsia="Arial Narrow" w:hAnsi="Tahoma" w:cs="Tahoma"/>
          <w:color w:val="231F20"/>
          <w:w w:val="120"/>
          <w:sz w:val="20"/>
          <w:szCs w:val="20"/>
          <w:lang w:val="en-GB" w:eastAsia="en-GB" w:bidi="en-GB"/>
        </w:rPr>
        <w:t>da</w:t>
      </w:r>
      <w:r>
        <w:rPr>
          <w:rFonts w:ascii="Tahoma" w:eastAsia="Arial Narrow" w:hAnsi="Tahoma" w:cs="Tahoma"/>
          <w:color w:val="231F20"/>
          <w:spacing w:val="-11"/>
          <w:w w:val="120"/>
          <w:sz w:val="20"/>
          <w:szCs w:val="20"/>
          <w:lang w:val="en-GB" w:eastAsia="en-GB" w:bidi="en-GB"/>
        </w:rPr>
        <w:t xml:space="preserve"> </w:t>
      </w:r>
      <w:r>
        <w:rPr>
          <w:rFonts w:ascii="Tahoma" w:eastAsia="Arial Narrow" w:hAnsi="Tahoma" w:cs="Tahoma"/>
          <w:color w:val="231F20"/>
          <w:w w:val="120"/>
          <w:sz w:val="20"/>
          <w:szCs w:val="20"/>
          <w:lang w:val="en-GB" w:eastAsia="en-GB" w:bidi="en-GB"/>
        </w:rPr>
        <w:t>diğerine</w:t>
      </w:r>
      <w:r>
        <w:rPr>
          <w:rFonts w:ascii="Tahoma" w:eastAsia="Arial Narrow" w:hAnsi="Tahoma" w:cs="Tahoma"/>
          <w:color w:val="231F20"/>
          <w:spacing w:val="-11"/>
          <w:w w:val="120"/>
          <w:sz w:val="20"/>
          <w:szCs w:val="20"/>
          <w:lang w:val="en-GB" w:eastAsia="en-GB" w:bidi="en-GB"/>
        </w:rPr>
        <w:t xml:space="preserve"> </w:t>
      </w:r>
      <w:r>
        <w:rPr>
          <w:rFonts w:ascii="Tahoma" w:eastAsia="Arial Narrow" w:hAnsi="Tahoma" w:cs="Tahoma"/>
          <w:color w:val="231F20"/>
          <w:w w:val="120"/>
          <w:sz w:val="20"/>
          <w:szCs w:val="20"/>
          <w:lang w:val="en-GB" w:eastAsia="en-GB" w:bidi="en-GB"/>
        </w:rPr>
        <w:t>göre</w:t>
      </w:r>
      <w:r>
        <w:rPr>
          <w:rFonts w:ascii="Tahoma" w:eastAsia="Arial Narrow" w:hAnsi="Tahoma" w:cs="Tahoma"/>
          <w:color w:val="231F20"/>
          <w:spacing w:val="-11"/>
          <w:w w:val="120"/>
          <w:sz w:val="20"/>
          <w:szCs w:val="20"/>
          <w:lang w:val="en-GB" w:eastAsia="en-GB" w:bidi="en-GB"/>
        </w:rPr>
        <w:t xml:space="preserve"> </w:t>
      </w:r>
      <w:r>
        <w:rPr>
          <w:rFonts w:ascii="Tahoma" w:eastAsia="Arial Narrow" w:hAnsi="Tahoma" w:cs="Tahoma"/>
          <w:color w:val="231F20"/>
          <w:w w:val="120"/>
          <w:sz w:val="20"/>
          <w:szCs w:val="20"/>
          <w:lang w:val="en-GB" w:eastAsia="en-GB" w:bidi="en-GB"/>
        </w:rPr>
        <w:t>kısıtlanamaz.</w:t>
      </w:r>
      <w:r>
        <w:rPr>
          <w:rFonts w:ascii="Tahoma" w:eastAsia="Arial Narrow" w:hAnsi="Tahoma" w:cs="Tahoma"/>
          <w:color w:val="231F20"/>
          <w:w w:val="120"/>
          <w:position w:val="-6"/>
          <w:sz w:val="20"/>
          <w:szCs w:val="20"/>
          <w:lang w:val="en-GB" w:eastAsia="en-GB" w:bidi="en-GB"/>
        </w:rPr>
        <w:t xml:space="preserve"> </w:t>
      </w:r>
      <w:r>
        <w:rPr>
          <w:rFonts w:ascii="Tahoma" w:eastAsia="Arial Narrow" w:hAnsi="Tahoma" w:cs="Tahoma"/>
          <w:sz w:val="20"/>
          <w:szCs w:val="20"/>
          <w:lang w:val="en-GB" w:eastAsia="en-GB" w:bidi="en-GB"/>
        </w:rPr>
        <w:t>Arabuluculuk yoluyla uyuşmazlığın çözümü gönüllülük esasına dayalıdır.</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rPr>
          <w:rFonts w:ascii="Tahoma" w:eastAsia="Arial Narrow" w:hAnsi="Tahoma" w:cs="Tahoma"/>
          <w:sz w:val="20"/>
          <w:szCs w:val="20"/>
          <w:lang w:val="en-GB" w:eastAsia="en-GB" w:bidi="en-GB"/>
        </w:rPr>
        <w:t>Arabulucu taraflar arasındaki hukuki uyuşmazlığın çözümünde tarafsız ve bağımsız bir üçüncü kişi olarak yer alır ve taraflar arasındaki iletişim ortamını kolaylaştırarak kendi çözümlerini kendilerinin üretmeleri konusunda onlara yardımcı olur. Tarafların çözüm üretemediklerinin ortaya çıkması hâlinde arabulucu bir çözüm önerisinde de bulunabilir.</w:t>
      </w:r>
    </w:p>
    <w:p w:rsidR="009A745D" w:rsidRPr="009A745D" w:rsidRDefault="009A745D" w:rsidP="00885559">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rsidRPr="009A745D">
        <w:rPr>
          <w:rFonts w:ascii="Tahoma" w:eastAsia="Arial Narrow" w:hAnsi="Tahoma" w:cs="Tahoma"/>
          <w:sz w:val="20"/>
          <w:szCs w:val="20"/>
          <w:lang w:val="en-GB" w:eastAsia="en-GB" w:bidi="en-GB"/>
        </w:rPr>
        <w:t xml:space="preserve">Taraflarca aksi kararlaştırılmadıkça arabuluculuk görüşmelerinde gizlilik ilkesine uyulması esastır. </w:t>
      </w:r>
      <w:r w:rsidRPr="009A745D">
        <w:rPr>
          <w:rFonts w:ascii="Tahoma" w:eastAsia="Arial Narrow" w:hAnsi="Tahoma" w:cs="Tahoma"/>
          <w:color w:val="231F20"/>
          <w:w w:val="120"/>
          <w:sz w:val="20"/>
          <w:szCs w:val="20"/>
          <w:lang w:val="en-GB" w:eastAsia="en-GB" w:bidi="en-GB"/>
        </w:rPr>
        <w:t>Taraflarca aksi kararlaştırılmadıkça arabulucu, taraflar ve</w:t>
      </w:r>
      <w:r w:rsidRPr="009A745D">
        <w:rPr>
          <w:rFonts w:ascii="Tahoma" w:eastAsia="Arial Narrow" w:hAnsi="Tahoma" w:cs="Tahoma"/>
          <w:color w:val="231F20"/>
          <w:spacing w:val="-29"/>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arabuluculuğa katılan üçüncü kişiler, taraflarca yapılan arabuluculuk daveti veya bir tarafın arabuluculuk faaliyetine katılma isteği; uyuşmazlığın arabuluculuk yolu ile sona erdirilmesi için taraflarca ileri sürülen görüş ve teklifler; arabuluculuk faaliyeti esnasında taraflarca ileri sürülen öneriler veya herhangi bir vakıa veya iddianın kabulü; sadece arabuluculuk faaliyeti dolayısıyla hazırlanan belgeleri delil olarak ileri süremez ve bunlar hakkında</w:t>
      </w:r>
      <w:r w:rsidRPr="009A745D">
        <w:rPr>
          <w:rFonts w:ascii="Tahoma" w:eastAsia="Arial Narrow" w:hAnsi="Tahoma" w:cs="Tahoma"/>
          <w:color w:val="231F20"/>
          <w:spacing w:val="-9"/>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tanıklık</w:t>
      </w:r>
      <w:r w:rsidRPr="009A745D">
        <w:rPr>
          <w:rFonts w:ascii="Tahoma" w:eastAsia="Arial Narrow" w:hAnsi="Tahoma" w:cs="Tahoma"/>
          <w:color w:val="231F20"/>
          <w:spacing w:val="-9"/>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yapamaz.</w:t>
      </w:r>
      <w:r w:rsidRPr="009A745D">
        <w:rPr>
          <w:rFonts w:ascii="Tahoma" w:eastAsia="Arial Narrow" w:hAnsi="Tahoma" w:cs="Tahoma"/>
          <w:color w:val="231F20"/>
          <w:spacing w:val="-9"/>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Bu</w:t>
      </w:r>
      <w:r w:rsidRPr="009A745D">
        <w:rPr>
          <w:rFonts w:ascii="Tahoma" w:eastAsia="Arial Narrow" w:hAnsi="Tahoma" w:cs="Tahoma"/>
          <w:color w:val="231F20"/>
          <w:spacing w:val="-9"/>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yükümlülüğe</w:t>
      </w:r>
      <w:r w:rsidRPr="009A745D">
        <w:rPr>
          <w:rFonts w:ascii="Tahoma" w:eastAsia="Arial Narrow" w:hAnsi="Tahoma" w:cs="Tahoma"/>
          <w:color w:val="231F20"/>
          <w:spacing w:val="-9"/>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aykırı</w:t>
      </w:r>
      <w:r w:rsidRPr="009A745D">
        <w:rPr>
          <w:rFonts w:ascii="Tahoma" w:eastAsia="Arial Narrow" w:hAnsi="Tahoma" w:cs="Tahoma"/>
          <w:color w:val="231F20"/>
          <w:spacing w:val="-9"/>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hareket</w:t>
      </w:r>
      <w:r w:rsidRPr="009A745D">
        <w:rPr>
          <w:rFonts w:ascii="Tahoma" w:eastAsia="Arial Narrow" w:hAnsi="Tahoma" w:cs="Tahoma"/>
          <w:color w:val="231F20"/>
          <w:spacing w:val="-9"/>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ederek</w:t>
      </w:r>
      <w:r w:rsidRPr="009A745D">
        <w:rPr>
          <w:rFonts w:ascii="Tahoma" w:eastAsia="Arial Narrow" w:hAnsi="Tahoma" w:cs="Tahoma"/>
          <w:color w:val="231F20"/>
          <w:spacing w:val="-9"/>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bir</w:t>
      </w:r>
      <w:r w:rsidRPr="009A745D">
        <w:rPr>
          <w:rFonts w:ascii="Tahoma" w:eastAsia="Arial Narrow" w:hAnsi="Tahoma" w:cs="Tahoma"/>
          <w:color w:val="231F20"/>
          <w:spacing w:val="-9"/>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kişinin hukuken korunan menfaatinin zarar görmesine neden olan kişi altı aya kadar</w:t>
      </w:r>
      <w:r w:rsidRPr="009A745D">
        <w:rPr>
          <w:rFonts w:ascii="Tahoma" w:eastAsia="Arial Narrow" w:hAnsi="Tahoma" w:cs="Tahoma"/>
          <w:color w:val="231F20"/>
          <w:spacing w:val="-11"/>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hapis</w:t>
      </w:r>
      <w:r w:rsidRPr="009A745D">
        <w:rPr>
          <w:rFonts w:ascii="Tahoma" w:eastAsia="Arial Narrow" w:hAnsi="Tahoma" w:cs="Tahoma"/>
          <w:color w:val="231F20"/>
          <w:spacing w:val="-11"/>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cezası</w:t>
      </w:r>
      <w:r w:rsidRPr="009A745D">
        <w:rPr>
          <w:rFonts w:ascii="Tahoma" w:eastAsia="Arial Narrow" w:hAnsi="Tahoma" w:cs="Tahoma"/>
          <w:color w:val="231F20"/>
          <w:spacing w:val="-11"/>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ile</w:t>
      </w:r>
      <w:r w:rsidRPr="009A745D">
        <w:rPr>
          <w:rFonts w:ascii="Tahoma" w:eastAsia="Arial Narrow" w:hAnsi="Tahoma" w:cs="Tahoma"/>
          <w:color w:val="231F20"/>
          <w:spacing w:val="-11"/>
          <w:w w:val="120"/>
          <w:sz w:val="20"/>
          <w:szCs w:val="20"/>
          <w:lang w:val="en-GB" w:eastAsia="en-GB" w:bidi="en-GB"/>
        </w:rPr>
        <w:t xml:space="preserve"> </w:t>
      </w:r>
      <w:r>
        <w:rPr>
          <w:rFonts w:ascii="Tahoma" w:eastAsia="Arial Narrow" w:hAnsi="Tahoma" w:cs="Tahoma"/>
          <w:color w:val="231F20"/>
          <w:w w:val="120"/>
          <w:sz w:val="20"/>
          <w:szCs w:val="20"/>
          <w:lang w:val="en-GB" w:eastAsia="en-GB" w:bidi="en-GB"/>
        </w:rPr>
        <w:t>cezalandırılır</w:t>
      </w:r>
    </w:p>
    <w:p w:rsidR="009A745D" w:rsidRPr="009A745D" w:rsidRDefault="009A745D" w:rsidP="00885559">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rsidRPr="009A745D">
        <w:rPr>
          <w:rFonts w:ascii="Tahoma" w:eastAsia="Arial Narrow" w:hAnsi="Tahoma" w:cs="Tahoma"/>
          <w:color w:val="231F20"/>
          <w:spacing w:val="-3"/>
          <w:w w:val="125"/>
          <w:sz w:val="20"/>
          <w:szCs w:val="20"/>
          <w:lang w:val="en-GB" w:eastAsia="en-GB" w:bidi="en-GB"/>
        </w:rPr>
        <w:t>A</w:t>
      </w:r>
      <w:r w:rsidRPr="009A745D">
        <w:rPr>
          <w:rFonts w:ascii="Tahoma" w:eastAsia="Arial Narrow" w:hAnsi="Tahoma" w:cs="Tahoma"/>
          <w:color w:val="231F20"/>
          <w:w w:val="120"/>
          <w:sz w:val="20"/>
          <w:szCs w:val="20"/>
          <w:lang w:val="en-GB" w:eastAsia="en-GB" w:bidi="en-GB"/>
        </w:rPr>
        <w:t>rabuluculuk</w:t>
      </w:r>
      <w:r w:rsidRPr="009A745D">
        <w:rPr>
          <w:rFonts w:ascii="Tahoma" w:eastAsia="Arial Narrow" w:hAnsi="Tahoma" w:cs="Tahoma"/>
          <w:color w:val="231F20"/>
          <w:spacing w:val="-14"/>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süreci,</w:t>
      </w:r>
      <w:r w:rsidRPr="009A745D">
        <w:rPr>
          <w:rFonts w:ascii="Tahoma" w:eastAsia="Arial Narrow" w:hAnsi="Tahoma" w:cs="Tahoma"/>
          <w:color w:val="231F20"/>
          <w:spacing w:val="-14"/>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dava</w:t>
      </w:r>
      <w:r w:rsidRPr="009A745D">
        <w:rPr>
          <w:rFonts w:ascii="Tahoma" w:eastAsia="Arial Narrow" w:hAnsi="Tahoma" w:cs="Tahoma"/>
          <w:color w:val="231F20"/>
          <w:spacing w:val="-14"/>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açılmadan</w:t>
      </w:r>
      <w:r w:rsidRPr="009A745D">
        <w:rPr>
          <w:rFonts w:ascii="Tahoma" w:eastAsia="Arial Narrow" w:hAnsi="Tahoma" w:cs="Tahoma"/>
          <w:color w:val="231F20"/>
          <w:spacing w:val="-14"/>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önce</w:t>
      </w:r>
      <w:r w:rsidRPr="009A745D">
        <w:rPr>
          <w:rFonts w:ascii="Tahoma" w:eastAsia="Arial Narrow" w:hAnsi="Tahoma" w:cs="Tahoma"/>
          <w:color w:val="231F20"/>
          <w:spacing w:val="-14"/>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arabulucuya</w:t>
      </w:r>
      <w:r w:rsidRPr="009A745D">
        <w:rPr>
          <w:rFonts w:ascii="Tahoma" w:eastAsia="Arial Narrow" w:hAnsi="Tahoma" w:cs="Tahoma"/>
          <w:color w:val="231F20"/>
          <w:spacing w:val="-14"/>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başvuru</w:t>
      </w:r>
      <w:r w:rsidRPr="009A745D">
        <w:rPr>
          <w:rFonts w:ascii="Tahoma" w:eastAsia="Arial Narrow" w:hAnsi="Tahoma" w:cs="Tahoma"/>
          <w:color w:val="231F20"/>
          <w:spacing w:val="-14"/>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 xml:space="preserve">halinde, </w:t>
      </w:r>
      <w:r w:rsidRPr="009A745D">
        <w:rPr>
          <w:rFonts w:ascii="Tahoma" w:eastAsia="Arial Narrow" w:hAnsi="Tahoma" w:cs="Tahoma"/>
          <w:color w:val="231F20"/>
          <w:w w:val="125"/>
          <w:sz w:val="20"/>
          <w:szCs w:val="20"/>
          <w:lang w:val="en-GB" w:eastAsia="en-GB" w:bidi="en-GB"/>
        </w:rPr>
        <w:t>tarafların</w:t>
      </w:r>
      <w:r w:rsidRPr="009A745D">
        <w:rPr>
          <w:rFonts w:ascii="Tahoma" w:eastAsia="Arial Narrow" w:hAnsi="Tahoma" w:cs="Tahoma"/>
          <w:color w:val="231F20"/>
          <w:spacing w:val="-26"/>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ilk</w:t>
      </w:r>
      <w:r w:rsidRPr="009A745D">
        <w:rPr>
          <w:rFonts w:ascii="Tahoma" w:eastAsia="Arial Narrow" w:hAnsi="Tahoma" w:cs="Tahoma"/>
          <w:color w:val="231F20"/>
          <w:spacing w:val="-26"/>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toplantıya</w:t>
      </w:r>
      <w:r w:rsidRPr="009A745D">
        <w:rPr>
          <w:rFonts w:ascii="Tahoma" w:eastAsia="Arial Narrow" w:hAnsi="Tahoma" w:cs="Tahoma"/>
          <w:color w:val="231F20"/>
          <w:spacing w:val="-26"/>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davet</w:t>
      </w:r>
      <w:r w:rsidRPr="009A745D">
        <w:rPr>
          <w:rFonts w:ascii="Tahoma" w:eastAsia="Arial Narrow" w:hAnsi="Tahoma" w:cs="Tahoma"/>
          <w:color w:val="231F20"/>
          <w:spacing w:val="-26"/>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edilmeleri</w:t>
      </w:r>
      <w:r w:rsidRPr="009A745D">
        <w:rPr>
          <w:rFonts w:ascii="Tahoma" w:eastAsia="Arial Narrow" w:hAnsi="Tahoma" w:cs="Tahoma"/>
          <w:color w:val="231F20"/>
          <w:spacing w:val="-26"/>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ve</w:t>
      </w:r>
      <w:r w:rsidRPr="009A745D">
        <w:rPr>
          <w:rFonts w:ascii="Tahoma" w:eastAsia="Arial Narrow" w:hAnsi="Tahoma" w:cs="Tahoma"/>
          <w:color w:val="231F20"/>
          <w:spacing w:val="-26"/>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taraflarla</w:t>
      </w:r>
      <w:r w:rsidRPr="009A745D">
        <w:rPr>
          <w:rFonts w:ascii="Tahoma" w:eastAsia="Arial Narrow" w:hAnsi="Tahoma" w:cs="Tahoma"/>
          <w:color w:val="231F20"/>
          <w:spacing w:val="-26"/>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arabulucu</w:t>
      </w:r>
      <w:r w:rsidRPr="009A745D">
        <w:rPr>
          <w:rFonts w:ascii="Tahoma" w:eastAsia="Arial Narrow" w:hAnsi="Tahoma" w:cs="Tahoma"/>
          <w:color w:val="231F20"/>
          <w:spacing w:val="-26"/>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arasında sürecin</w:t>
      </w:r>
      <w:r w:rsidRPr="009A745D">
        <w:rPr>
          <w:rFonts w:ascii="Tahoma" w:eastAsia="Arial Narrow" w:hAnsi="Tahoma" w:cs="Tahoma"/>
          <w:color w:val="231F20"/>
          <w:spacing w:val="-19"/>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devam</w:t>
      </w:r>
      <w:r w:rsidRPr="009A745D">
        <w:rPr>
          <w:rFonts w:ascii="Tahoma" w:eastAsia="Arial Narrow" w:hAnsi="Tahoma" w:cs="Tahoma"/>
          <w:color w:val="231F20"/>
          <w:spacing w:val="-19"/>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ettirilmesi</w:t>
      </w:r>
      <w:r w:rsidRPr="009A745D">
        <w:rPr>
          <w:rFonts w:ascii="Tahoma" w:eastAsia="Arial Narrow" w:hAnsi="Tahoma" w:cs="Tahoma"/>
          <w:color w:val="231F20"/>
          <w:spacing w:val="-19"/>
          <w:w w:val="125"/>
          <w:sz w:val="20"/>
          <w:szCs w:val="20"/>
          <w:lang w:val="en-GB" w:eastAsia="en-GB" w:bidi="en-GB"/>
        </w:rPr>
        <w:t xml:space="preserve"> </w:t>
      </w:r>
      <w:r w:rsidRPr="009A745D">
        <w:rPr>
          <w:rFonts w:ascii="Tahoma" w:eastAsia="Arial Narrow" w:hAnsi="Tahoma" w:cs="Tahoma"/>
          <w:color w:val="231F20"/>
          <w:spacing w:val="-3"/>
          <w:w w:val="125"/>
          <w:sz w:val="20"/>
          <w:szCs w:val="20"/>
          <w:lang w:val="en-GB" w:eastAsia="en-GB" w:bidi="en-GB"/>
        </w:rPr>
        <w:t>konusunda</w:t>
      </w:r>
      <w:r w:rsidRPr="009A745D">
        <w:rPr>
          <w:rFonts w:ascii="Tahoma" w:eastAsia="Arial Narrow" w:hAnsi="Tahoma" w:cs="Tahoma"/>
          <w:color w:val="231F20"/>
          <w:spacing w:val="-19"/>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anlaşmaya</w:t>
      </w:r>
      <w:r w:rsidRPr="009A745D">
        <w:rPr>
          <w:rFonts w:ascii="Tahoma" w:eastAsia="Arial Narrow" w:hAnsi="Tahoma" w:cs="Tahoma"/>
          <w:color w:val="231F20"/>
          <w:spacing w:val="-19"/>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varılıp</w:t>
      </w:r>
      <w:r w:rsidRPr="009A745D">
        <w:rPr>
          <w:rFonts w:ascii="Tahoma" w:eastAsia="Arial Narrow" w:hAnsi="Tahoma" w:cs="Tahoma"/>
          <w:color w:val="231F20"/>
          <w:spacing w:val="-19"/>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bu</w:t>
      </w:r>
      <w:r w:rsidRPr="009A745D">
        <w:rPr>
          <w:rFonts w:ascii="Tahoma" w:eastAsia="Arial Narrow" w:hAnsi="Tahoma" w:cs="Tahoma"/>
          <w:color w:val="231F20"/>
          <w:spacing w:val="-19"/>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durumun</w:t>
      </w:r>
      <w:r w:rsidRPr="009A745D">
        <w:rPr>
          <w:rFonts w:ascii="Tahoma" w:eastAsia="Arial Narrow" w:hAnsi="Tahoma" w:cs="Tahoma"/>
          <w:color w:val="231F20"/>
          <w:spacing w:val="-19"/>
          <w:w w:val="125"/>
          <w:sz w:val="20"/>
          <w:szCs w:val="20"/>
          <w:lang w:val="en-GB" w:eastAsia="en-GB" w:bidi="en-GB"/>
        </w:rPr>
        <w:t xml:space="preserve"> </w:t>
      </w:r>
      <w:r w:rsidRPr="009A745D">
        <w:rPr>
          <w:rFonts w:ascii="Tahoma" w:eastAsia="Arial Narrow" w:hAnsi="Tahoma" w:cs="Tahoma"/>
          <w:color w:val="231F20"/>
          <w:spacing w:val="-2"/>
          <w:w w:val="125"/>
          <w:sz w:val="20"/>
          <w:szCs w:val="20"/>
          <w:lang w:val="en-GB" w:eastAsia="en-GB" w:bidi="en-GB"/>
        </w:rPr>
        <w:t xml:space="preserve">bir </w:t>
      </w:r>
      <w:r w:rsidRPr="009A745D">
        <w:rPr>
          <w:rFonts w:ascii="Tahoma" w:eastAsia="Arial Narrow" w:hAnsi="Tahoma" w:cs="Tahoma"/>
          <w:color w:val="231F20"/>
          <w:w w:val="125"/>
          <w:sz w:val="20"/>
          <w:szCs w:val="20"/>
          <w:lang w:val="en-GB" w:eastAsia="en-GB" w:bidi="en-GB"/>
        </w:rPr>
        <w:t xml:space="preserve">tutanakla belgelendirildiği tarihten itibaren işlemeye </w:t>
      </w:r>
      <w:r w:rsidRPr="009A745D">
        <w:rPr>
          <w:rFonts w:ascii="Tahoma" w:eastAsia="Arial Narrow" w:hAnsi="Tahoma" w:cs="Tahoma"/>
          <w:color w:val="231F20"/>
          <w:spacing w:val="-3"/>
          <w:w w:val="125"/>
          <w:sz w:val="20"/>
          <w:szCs w:val="20"/>
          <w:lang w:val="en-GB" w:eastAsia="en-GB" w:bidi="en-GB"/>
        </w:rPr>
        <w:t xml:space="preserve">başlar. </w:t>
      </w:r>
      <w:r w:rsidRPr="009A745D">
        <w:rPr>
          <w:rFonts w:ascii="Tahoma" w:eastAsia="Arial Narrow" w:hAnsi="Tahoma" w:cs="Tahoma"/>
          <w:color w:val="231F20"/>
          <w:w w:val="125"/>
          <w:sz w:val="20"/>
          <w:szCs w:val="20"/>
          <w:lang w:val="en-GB" w:eastAsia="en-GB" w:bidi="en-GB"/>
        </w:rPr>
        <w:t>Dava</w:t>
      </w:r>
      <w:r w:rsidRPr="009A745D">
        <w:rPr>
          <w:rFonts w:ascii="Tahoma" w:eastAsia="Arial Narrow" w:hAnsi="Tahoma" w:cs="Tahoma"/>
          <w:color w:val="231F20"/>
          <w:spacing w:val="-31"/>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açıl</w:t>
      </w:r>
      <w:r w:rsidRPr="009A745D">
        <w:rPr>
          <w:rFonts w:ascii="Tahoma" w:eastAsia="Arial Narrow" w:hAnsi="Tahoma" w:cs="Tahoma"/>
          <w:color w:val="231F20"/>
          <w:w w:val="120"/>
          <w:sz w:val="20"/>
          <w:szCs w:val="20"/>
          <w:lang w:val="en-GB" w:eastAsia="en-GB" w:bidi="en-GB"/>
        </w:rPr>
        <w:t>masından</w:t>
      </w:r>
      <w:r w:rsidRPr="009A745D">
        <w:rPr>
          <w:rFonts w:ascii="Tahoma" w:eastAsia="Arial Narrow" w:hAnsi="Tahoma" w:cs="Tahoma"/>
          <w:color w:val="231F20"/>
          <w:spacing w:val="-9"/>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sonra</w:t>
      </w:r>
      <w:r w:rsidRPr="009A745D">
        <w:rPr>
          <w:rFonts w:ascii="Tahoma" w:eastAsia="Arial Narrow" w:hAnsi="Tahoma" w:cs="Tahoma"/>
          <w:color w:val="231F20"/>
          <w:spacing w:val="-9"/>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arabulucuya</w:t>
      </w:r>
      <w:r w:rsidRPr="009A745D">
        <w:rPr>
          <w:rFonts w:ascii="Tahoma" w:eastAsia="Arial Narrow" w:hAnsi="Tahoma" w:cs="Tahoma"/>
          <w:color w:val="231F20"/>
          <w:spacing w:val="-9"/>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başvuru</w:t>
      </w:r>
      <w:r w:rsidRPr="009A745D">
        <w:rPr>
          <w:rFonts w:ascii="Tahoma" w:eastAsia="Arial Narrow" w:hAnsi="Tahoma" w:cs="Tahoma"/>
          <w:color w:val="231F20"/>
          <w:spacing w:val="-9"/>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halinde</w:t>
      </w:r>
      <w:r w:rsidRPr="009A745D">
        <w:rPr>
          <w:rFonts w:ascii="Tahoma" w:eastAsia="Arial Narrow" w:hAnsi="Tahoma" w:cs="Tahoma"/>
          <w:color w:val="231F20"/>
          <w:spacing w:val="-9"/>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ise</w:t>
      </w:r>
      <w:r w:rsidRPr="009A745D">
        <w:rPr>
          <w:rFonts w:ascii="Tahoma" w:eastAsia="Arial Narrow" w:hAnsi="Tahoma" w:cs="Tahoma"/>
          <w:color w:val="231F20"/>
          <w:spacing w:val="-9"/>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bu</w:t>
      </w:r>
      <w:r w:rsidRPr="009A745D">
        <w:rPr>
          <w:rFonts w:ascii="Tahoma" w:eastAsia="Arial Narrow" w:hAnsi="Tahoma" w:cs="Tahoma"/>
          <w:color w:val="231F20"/>
          <w:spacing w:val="-9"/>
          <w:w w:val="120"/>
          <w:sz w:val="20"/>
          <w:szCs w:val="20"/>
          <w:lang w:val="en-GB" w:eastAsia="en-GB" w:bidi="en-GB"/>
        </w:rPr>
        <w:t xml:space="preserve"> </w:t>
      </w:r>
      <w:r w:rsidRPr="009A745D">
        <w:rPr>
          <w:rFonts w:ascii="Tahoma" w:eastAsia="Arial Narrow" w:hAnsi="Tahoma" w:cs="Tahoma"/>
          <w:color w:val="231F20"/>
          <w:w w:val="120"/>
          <w:sz w:val="20"/>
          <w:szCs w:val="20"/>
          <w:lang w:val="en-GB" w:eastAsia="en-GB" w:bidi="en-GB"/>
        </w:rPr>
        <w:t>süreç,</w:t>
      </w:r>
      <w:r w:rsidRPr="009A745D">
        <w:rPr>
          <w:rFonts w:ascii="Tahoma" w:eastAsia="Arial Narrow" w:hAnsi="Tahoma" w:cs="Tahoma"/>
          <w:color w:val="231F20"/>
          <w:spacing w:val="-9"/>
          <w:w w:val="120"/>
          <w:sz w:val="20"/>
          <w:szCs w:val="20"/>
          <w:lang w:val="en-GB" w:eastAsia="en-GB" w:bidi="en-GB"/>
        </w:rPr>
        <w:t xml:space="preserve"> </w:t>
      </w:r>
      <w:r w:rsidRPr="009A745D">
        <w:rPr>
          <w:rFonts w:ascii="Tahoma" w:eastAsia="Arial Narrow" w:hAnsi="Tahoma" w:cs="Tahoma"/>
          <w:color w:val="231F20"/>
          <w:spacing w:val="-3"/>
          <w:w w:val="120"/>
          <w:sz w:val="20"/>
          <w:szCs w:val="20"/>
          <w:lang w:val="en-GB" w:eastAsia="en-GB" w:bidi="en-GB"/>
        </w:rPr>
        <w:t xml:space="preserve">mahkemenin </w:t>
      </w:r>
      <w:r w:rsidRPr="009A745D">
        <w:rPr>
          <w:rFonts w:ascii="Tahoma" w:eastAsia="Arial Narrow" w:hAnsi="Tahoma" w:cs="Tahoma"/>
          <w:color w:val="231F20"/>
          <w:w w:val="125"/>
          <w:sz w:val="20"/>
          <w:szCs w:val="20"/>
          <w:lang w:val="en-GB" w:eastAsia="en-GB" w:bidi="en-GB"/>
        </w:rPr>
        <w:t>tarafları</w:t>
      </w:r>
      <w:r w:rsidRPr="009A745D">
        <w:rPr>
          <w:rFonts w:ascii="Tahoma" w:eastAsia="Arial Narrow" w:hAnsi="Tahoma" w:cs="Tahoma"/>
          <w:color w:val="231F20"/>
          <w:spacing w:val="-44"/>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arabuluculuğa</w:t>
      </w:r>
      <w:r w:rsidRPr="009A745D">
        <w:rPr>
          <w:rFonts w:ascii="Tahoma" w:eastAsia="Arial Narrow" w:hAnsi="Tahoma" w:cs="Tahoma"/>
          <w:color w:val="231F20"/>
          <w:spacing w:val="-44"/>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davetinin</w:t>
      </w:r>
      <w:r w:rsidRPr="009A745D">
        <w:rPr>
          <w:rFonts w:ascii="Tahoma" w:eastAsia="Arial Narrow" w:hAnsi="Tahoma" w:cs="Tahoma"/>
          <w:color w:val="231F20"/>
          <w:spacing w:val="-44"/>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taraflarca</w:t>
      </w:r>
      <w:r w:rsidRPr="009A745D">
        <w:rPr>
          <w:rFonts w:ascii="Tahoma" w:eastAsia="Arial Narrow" w:hAnsi="Tahoma" w:cs="Tahoma"/>
          <w:color w:val="231F20"/>
          <w:spacing w:val="-44"/>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kabul</w:t>
      </w:r>
      <w:r w:rsidRPr="009A745D">
        <w:rPr>
          <w:rFonts w:ascii="Tahoma" w:eastAsia="Arial Narrow" w:hAnsi="Tahoma" w:cs="Tahoma"/>
          <w:color w:val="231F20"/>
          <w:spacing w:val="-44"/>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edilmesi</w:t>
      </w:r>
      <w:r w:rsidRPr="009A745D">
        <w:rPr>
          <w:rFonts w:ascii="Tahoma" w:eastAsia="Arial Narrow" w:hAnsi="Tahoma" w:cs="Tahoma"/>
          <w:color w:val="231F20"/>
          <w:spacing w:val="-44"/>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veya</w:t>
      </w:r>
      <w:r w:rsidRPr="009A745D">
        <w:rPr>
          <w:rFonts w:ascii="Tahoma" w:eastAsia="Arial Narrow" w:hAnsi="Tahoma" w:cs="Tahoma"/>
          <w:color w:val="231F20"/>
          <w:spacing w:val="-44"/>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 xml:space="preserve">tarafların </w:t>
      </w:r>
      <w:r w:rsidRPr="009A745D">
        <w:rPr>
          <w:rFonts w:ascii="Tahoma" w:eastAsia="Arial Narrow" w:hAnsi="Tahoma" w:cs="Tahoma"/>
          <w:color w:val="231F20"/>
          <w:w w:val="120"/>
          <w:sz w:val="20"/>
          <w:szCs w:val="20"/>
          <w:lang w:val="en-GB" w:eastAsia="en-GB" w:bidi="en-GB"/>
        </w:rPr>
        <w:t xml:space="preserve">arabulucuya başvurma </w:t>
      </w:r>
      <w:r w:rsidRPr="009A745D">
        <w:rPr>
          <w:rFonts w:ascii="Tahoma" w:eastAsia="Arial Narrow" w:hAnsi="Tahoma" w:cs="Tahoma"/>
          <w:color w:val="231F20"/>
          <w:spacing w:val="-3"/>
          <w:w w:val="120"/>
          <w:sz w:val="20"/>
          <w:szCs w:val="20"/>
          <w:lang w:val="en-GB" w:eastAsia="en-GB" w:bidi="en-GB"/>
        </w:rPr>
        <w:t xml:space="preserve">konusunda </w:t>
      </w:r>
      <w:r w:rsidRPr="009A745D">
        <w:rPr>
          <w:rFonts w:ascii="Tahoma" w:eastAsia="Arial Narrow" w:hAnsi="Tahoma" w:cs="Tahoma"/>
          <w:color w:val="231F20"/>
          <w:w w:val="120"/>
          <w:sz w:val="20"/>
          <w:szCs w:val="20"/>
          <w:lang w:val="en-GB" w:eastAsia="en-GB" w:bidi="en-GB"/>
        </w:rPr>
        <w:t xml:space="preserve">anlaşmaya vardıklarını </w:t>
      </w:r>
      <w:r w:rsidRPr="009A745D">
        <w:rPr>
          <w:rFonts w:ascii="Tahoma" w:eastAsia="Arial Narrow" w:hAnsi="Tahoma" w:cs="Tahoma"/>
          <w:color w:val="231F20"/>
          <w:spacing w:val="-3"/>
          <w:w w:val="120"/>
          <w:sz w:val="20"/>
          <w:szCs w:val="20"/>
          <w:lang w:val="en-GB" w:eastAsia="en-GB" w:bidi="en-GB"/>
        </w:rPr>
        <w:t xml:space="preserve">mahkemeye </w:t>
      </w:r>
      <w:r w:rsidRPr="009A745D">
        <w:rPr>
          <w:rFonts w:ascii="Tahoma" w:eastAsia="Arial Narrow" w:hAnsi="Tahoma" w:cs="Tahoma"/>
          <w:color w:val="231F20"/>
          <w:w w:val="125"/>
          <w:sz w:val="20"/>
          <w:szCs w:val="20"/>
          <w:lang w:val="en-GB" w:eastAsia="en-GB" w:bidi="en-GB"/>
        </w:rPr>
        <w:t>yazılı</w:t>
      </w:r>
      <w:r w:rsidRPr="009A745D">
        <w:rPr>
          <w:rFonts w:ascii="Tahoma" w:eastAsia="Arial Narrow" w:hAnsi="Tahoma" w:cs="Tahoma"/>
          <w:color w:val="231F20"/>
          <w:spacing w:val="-17"/>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olarak</w:t>
      </w:r>
      <w:r w:rsidRPr="009A745D">
        <w:rPr>
          <w:rFonts w:ascii="Tahoma" w:eastAsia="Arial Narrow" w:hAnsi="Tahoma" w:cs="Tahoma"/>
          <w:color w:val="231F20"/>
          <w:spacing w:val="-17"/>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beyan</w:t>
      </w:r>
      <w:r w:rsidRPr="009A745D">
        <w:rPr>
          <w:rFonts w:ascii="Tahoma" w:eastAsia="Arial Narrow" w:hAnsi="Tahoma" w:cs="Tahoma"/>
          <w:color w:val="231F20"/>
          <w:spacing w:val="-17"/>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ettikleri</w:t>
      </w:r>
      <w:r w:rsidRPr="009A745D">
        <w:rPr>
          <w:rFonts w:ascii="Tahoma" w:eastAsia="Arial Narrow" w:hAnsi="Tahoma" w:cs="Tahoma"/>
          <w:color w:val="231F20"/>
          <w:spacing w:val="-17"/>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ya</w:t>
      </w:r>
      <w:r w:rsidRPr="009A745D">
        <w:rPr>
          <w:rFonts w:ascii="Tahoma" w:eastAsia="Arial Narrow" w:hAnsi="Tahoma" w:cs="Tahoma"/>
          <w:color w:val="231F20"/>
          <w:spacing w:val="-17"/>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da</w:t>
      </w:r>
      <w:r w:rsidRPr="009A745D">
        <w:rPr>
          <w:rFonts w:ascii="Tahoma" w:eastAsia="Arial Narrow" w:hAnsi="Tahoma" w:cs="Tahoma"/>
          <w:color w:val="231F20"/>
          <w:spacing w:val="-17"/>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duruşmada</w:t>
      </w:r>
      <w:r w:rsidRPr="009A745D">
        <w:rPr>
          <w:rFonts w:ascii="Tahoma" w:eastAsia="Arial Narrow" w:hAnsi="Tahoma" w:cs="Tahoma"/>
          <w:color w:val="231F20"/>
          <w:spacing w:val="-17"/>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bu</w:t>
      </w:r>
      <w:r w:rsidRPr="009A745D">
        <w:rPr>
          <w:rFonts w:ascii="Tahoma" w:eastAsia="Arial Narrow" w:hAnsi="Tahoma" w:cs="Tahoma"/>
          <w:color w:val="231F20"/>
          <w:spacing w:val="-17"/>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beyanlarının</w:t>
      </w:r>
      <w:r w:rsidRPr="009A745D">
        <w:rPr>
          <w:rFonts w:ascii="Tahoma" w:eastAsia="Arial Narrow" w:hAnsi="Tahoma" w:cs="Tahoma"/>
          <w:color w:val="231F20"/>
          <w:spacing w:val="-17"/>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tutanağa geçirildiği</w:t>
      </w:r>
      <w:r w:rsidRPr="009A745D">
        <w:rPr>
          <w:rFonts w:ascii="Tahoma" w:eastAsia="Arial Narrow" w:hAnsi="Tahoma" w:cs="Tahoma"/>
          <w:color w:val="231F20"/>
          <w:spacing w:val="-18"/>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tarihten</w:t>
      </w:r>
      <w:r w:rsidRPr="009A745D">
        <w:rPr>
          <w:rFonts w:ascii="Tahoma" w:eastAsia="Arial Narrow" w:hAnsi="Tahoma" w:cs="Tahoma"/>
          <w:color w:val="231F20"/>
          <w:spacing w:val="-18"/>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itibaren</w:t>
      </w:r>
      <w:r w:rsidRPr="009A745D">
        <w:rPr>
          <w:rFonts w:ascii="Tahoma" w:eastAsia="Arial Narrow" w:hAnsi="Tahoma" w:cs="Tahoma"/>
          <w:color w:val="231F20"/>
          <w:spacing w:val="-18"/>
          <w:w w:val="125"/>
          <w:sz w:val="20"/>
          <w:szCs w:val="20"/>
          <w:lang w:val="en-GB" w:eastAsia="en-GB" w:bidi="en-GB"/>
        </w:rPr>
        <w:t xml:space="preserve"> </w:t>
      </w:r>
      <w:r w:rsidRPr="009A745D">
        <w:rPr>
          <w:rFonts w:ascii="Tahoma" w:eastAsia="Arial Narrow" w:hAnsi="Tahoma" w:cs="Tahoma"/>
          <w:color w:val="231F20"/>
          <w:w w:val="125"/>
          <w:sz w:val="20"/>
          <w:szCs w:val="20"/>
          <w:lang w:val="en-GB" w:eastAsia="en-GB" w:bidi="en-GB"/>
        </w:rPr>
        <w:t>işlemeye</w:t>
      </w:r>
      <w:r w:rsidRPr="009A745D">
        <w:rPr>
          <w:rFonts w:ascii="Tahoma" w:eastAsia="Arial Narrow" w:hAnsi="Tahoma" w:cs="Tahoma"/>
          <w:color w:val="231F20"/>
          <w:spacing w:val="-18"/>
          <w:w w:val="125"/>
          <w:sz w:val="20"/>
          <w:szCs w:val="20"/>
          <w:lang w:val="en-GB" w:eastAsia="en-GB" w:bidi="en-GB"/>
        </w:rPr>
        <w:t xml:space="preserve"> </w:t>
      </w:r>
      <w:r w:rsidRPr="009A745D">
        <w:rPr>
          <w:rFonts w:ascii="Tahoma" w:eastAsia="Arial Narrow" w:hAnsi="Tahoma" w:cs="Tahoma"/>
          <w:color w:val="231F20"/>
          <w:spacing w:val="-3"/>
          <w:w w:val="125"/>
          <w:sz w:val="20"/>
          <w:szCs w:val="20"/>
          <w:lang w:val="en-GB" w:eastAsia="en-GB" w:bidi="en-GB"/>
        </w:rPr>
        <w:t>başlar.</w:t>
      </w:r>
      <w:r w:rsidRPr="009A745D">
        <w:rPr>
          <w:rFonts w:ascii="Tahoma" w:eastAsia="Arial Narrow" w:hAnsi="Tahoma" w:cs="Tahoma"/>
          <w:sz w:val="20"/>
          <w:szCs w:val="20"/>
          <w:lang w:val="en-GB" w:eastAsia="en-GB" w:bidi="en-GB"/>
        </w:rPr>
        <w:t xml:space="preserve"> </w:t>
      </w:r>
      <w:r w:rsidRPr="009A745D">
        <w:rPr>
          <w:rFonts w:ascii="Tahoma" w:eastAsia="Arial Narrow" w:hAnsi="Tahoma" w:cs="Tahoma"/>
          <w:b/>
          <w:sz w:val="20"/>
          <w:szCs w:val="20"/>
          <w:lang w:val="en-GB" w:eastAsia="en-GB" w:bidi="en-GB"/>
        </w:rPr>
        <w:t>(</w:t>
      </w:r>
      <w:r w:rsidRPr="009A745D">
        <w:rPr>
          <w:rFonts w:ascii="Tahoma" w:eastAsia="Arial Narrow" w:hAnsi="Tahoma" w:cs="Tahoma"/>
          <w:b/>
          <w:sz w:val="20"/>
          <w:szCs w:val="20"/>
          <w:u w:val="single"/>
          <w:lang w:val="en-GB" w:eastAsia="en-GB" w:bidi="en-GB"/>
        </w:rPr>
        <w:t>Dava şartı arabuluculuk süreci, adliye arabuluculuk bürosuna başvurulan hallerde, başvurunun yapıldığı tarihte başlar.</w:t>
      </w:r>
      <w:r w:rsidRPr="009A745D">
        <w:rPr>
          <w:rFonts w:ascii="Tahoma" w:eastAsia="Arial Narrow" w:hAnsi="Tahoma" w:cs="Tahoma"/>
          <w:sz w:val="20"/>
          <w:szCs w:val="20"/>
          <w:lang w:val="en-GB" w:eastAsia="en-GB" w:bidi="en-GB"/>
        </w:rPr>
        <w:t>)</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rPr>
          <w:rFonts w:ascii="Tahoma" w:eastAsia="Arial Narrow" w:hAnsi="Tahoma" w:cs="Tahoma"/>
          <w:color w:val="231F20"/>
          <w:w w:val="120"/>
          <w:sz w:val="20"/>
          <w:szCs w:val="20"/>
          <w:lang w:val="en-GB" w:eastAsia="en-GB" w:bidi="en-GB"/>
        </w:rPr>
        <w:t>Arabuluculuk</w:t>
      </w:r>
      <w:r>
        <w:rPr>
          <w:rFonts w:ascii="Tahoma" w:eastAsia="Arial Narrow" w:hAnsi="Tahoma" w:cs="Tahoma"/>
          <w:color w:val="231F20"/>
          <w:spacing w:val="-16"/>
          <w:w w:val="120"/>
          <w:sz w:val="20"/>
          <w:szCs w:val="20"/>
          <w:lang w:val="en-GB" w:eastAsia="en-GB" w:bidi="en-GB"/>
        </w:rPr>
        <w:t xml:space="preserve"> </w:t>
      </w:r>
      <w:r>
        <w:rPr>
          <w:rFonts w:ascii="Tahoma" w:eastAsia="Arial Narrow" w:hAnsi="Tahoma" w:cs="Tahoma"/>
          <w:color w:val="231F20"/>
          <w:w w:val="120"/>
          <w:sz w:val="20"/>
          <w:szCs w:val="20"/>
          <w:lang w:val="en-GB" w:eastAsia="en-GB" w:bidi="en-GB"/>
        </w:rPr>
        <w:t>sürecinin</w:t>
      </w:r>
      <w:r>
        <w:rPr>
          <w:rFonts w:ascii="Tahoma" w:eastAsia="Arial Narrow" w:hAnsi="Tahoma" w:cs="Tahoma"/>
          <w:color w:val="231F20"/>
          <w:spacing w:val="-16"/>
          <w:w w:val="120"/>
          <w:sz w:val="20"/>
          <w:szCs w:val="20"/>
          <w:lang w:val="en-GB" w:eastAsia="en-GB" w:bidi="en-GB"/>
        </w:rPr>
        <w:t xml:space="preserve"> </w:t>
      </w:r>
      <w:r>
        <w:rPr>
          <w:rFonts w:ascii="Tahoma" w:eastAsia="Arial Narrow" w:hAnsi="Tahoma" w:cs="Tahoma"/>
          <w:color w:val="231F20"/>
          <w:w w:val="120"/>
          <w:sz w:val="20"/>
          <w:szCs w:val="20"/>
          <w:lang w:val="en-GB" w:eastAsia="en-GB" w:bidi="en-GB"/>
        </w:rPr>
        <w:t>başlamasından</w:t>
      </w:r>
      <w:r>
        <w:rPr>
          <w:rFonts w:ascii="Tahoma" w:eastAsia="Arial Narrow" w:hAnsi="Tahoma" w:cs="Tahoma"/>
          <w:color w:val="231F20"/>
          <w:spacing w:val="-16"/>
          <w:w w:val="120"/>
          <w:sz w:val="20"/>
          <w:szCs w:val="20"/>
          <w:lang w:val="en-GB" w:eastAsia="en-GB" w:bidi="en-GB"/>
        </w:rPr>
        <w:t xml:space="preserve"> </w:t>
      </w:r>
      <w:r>
        <w:rPr>
          <w:rFonts w:ascii="Tahoma" w:eastAsia="Arial Narrow" w:hAnsi="Tahoma" w:cs="Tahoma"/>
          <w:color w:val="231F20"/>
          <w:w w:val="120"/>
          <w:sz w:val="20"/>
          <w:szCs w:val="20"/>
          <w:lang w:val="en-GB" w:eastAsia="en-GB" w:bidi="en-GB"/>
        </w:rPr>
        <w:t>sona</w:t>
      </w:r>
      <w:r>
        <w:rPr>
          <w:rFonts w:ascii="Tahoma" w:eastAsia="Arial Narrow" w:hAnsi="Tahoma" w:cs="Tahoma"/>
          <w:color w:val="231F20"/>
          <w:spacing w:val="-16"/>
          <w:w w:val="120"/>
          <w:sz w:val="20"/>
          <w:szCs w:val="20"/>
          <w:lang w:val="en-GB" w:eastAsia="en-GB" w:bidi="en-GB"/>
        </w:rPr>
        <w:t xml:space="preserve"> </w:t>
      </w:r>
      <w:r>
        <w:rPr>
          <w:rFonts w:ascii="Tahoma" w:eastAsia="Arial Narrow" w:hAnsi="Tahoma" w:cs="Tahoma"/>
          <w:color w:val="231F20"/>
          <w:w w:val="120"/>
          <w:sz w:val="20"/>
          <w:szCs w:val="20"/>
          <w:lang w:val="en-GB" w:eastAsia="en-GB" w:bidi="en-GB"/>
        </w:rPr>
        <w:t>ermesine</w:t>
      </w:r>
      <w:r>
        <w:rPr>
          <w:rFonts w:ascii="Tahoma" w:eastAsia="Arial Narrow" w:hAnsi="Tahoma" w:cs="Tahoma"/>
          <w:color w:val="231F20"/>
          <w:spacing w:val="-16"/>
          <w:w w:val="120"/>
          <w:sz w:val="20"/>
          <w:szCs w:val="20"/>
          <w:lang w:val="en-GB" w:eastAsia="en-GB" w:bidi="en-GB"/>
        </w:rPr>
        <w:t xml:space="preserve"> </w:t>
      </w:r>
      <w:r>
        <w:rPr>
          <w:rFonts w:ascii="Tahoma" w:eastAsia="Arial Narrow" w:hAnsi="Tahoma" w:cs="Tahoma"/>
          <w:color w:val="231F20"/>
          <w:w w:val="120"/>
          <w:sz w:val="20"/>
          <w:szCs w:val="20"/>
          <w:lang w:val="en-GB" w:eastAsia="en-GB" w:bidi="en-GB"/>
        </w:rPr>
        <w:t>kadar</w:t>
      </w:r>
      <w:r>
        <w:rPr>
          <w:rFonts w:ascii="Tahoma" w:eastAsia="Arial Narrow" w:hAnsi="Tahoma" w:cs="Tahoma"/>
          <w:color w:val="231F20"/>
          <w:spacing w:val="-16"/>
          <w:w w:val="120"/>
          <w:sz w:val="20"/>
          <w:szCs w:val="20"/>
          <w:lang w:val="en-GB" w:eastAsia="en-GB" w:bidi="en-GB"/>
        </w:rPr>
        <w:t xml:space="preserve"> </w:t>
      </w:r>
      <w:r>
        <w:rPr>
          <w:rFonts w:ascii="Tahoma" w:eastAsia="Arial Narrow" w:hAnsi="Tahoma" w:cs="Tahoma"/>
          <w:color w:val="231F20"/>
          <w:w w:val="120"/>
          <w:sz w:val="20"/>
          <w:szCs w:val="20"/>
          <w:lang w:val="en-GB" w:eastAsia="en-GB" w:bidi="en-GB"/>
        </w:rPr>
        <w:t>geçen</w:t>
      </w:r>
      <w:r>
        <w:rPr>
          <w:rFonts w:ascii="Tahoma" w:eastAsia="Arial Narrow" w:hAnsi="Tahoma" w:cs="Tahoma"/>
          <w:color w:val="231F20"/>
          <w:spacing w:val="-16"/>
          <w:w w:val="120"/>
          <w:sz w:val="20"/>
          <w:szCs w:val="20"/>
          <w:lang w:val="en-GB" w:eastAsia="en-GB" w:bidi="en-GB"/>
        </w:rPr>
        <w:t xml:space="preserve"> </w:t>
      </w:r>
      <w:r>
        <w:rPr>
          <w:rFonts w:ascii="Tahoma" w:eastAsia="Arial Narrow" w:hAnsi="Tahoma" w:cs="Tahoma"/>
          <w:color w:val="231F20"/>
          <w:w w:val="120"/>
          <w:sz w:val="20"/>
          <w:szCs w:val="20"/>
          <w:lang w:val="en-GB" w:eastAsia="en-GB" w:bidi="en-GB"/>
        </w:rPr>
        <w:t xml:space="preserve">süre, </w:t>
      </w:r>
      <w:r>
        <w:rPr>
          <w:rFonts w:ascii="Tahoma" w:eastAsia="Arial Narrow" w:hAnsi="Tahoma" w:cs="Tahoma"/>
          <w:color w:val="231F20"/>
          <w:w w:val="120"/>
          <w:sz w:val="20"/>
          <w:szCs w:val="20"/>
          <w:u w:val="single"/>
          <w:lang w:val="en-GB" w:eastAsia="en-GB" w:bidi="en-GB"/>
        </w:rPr>
        <w:t>zamanaşımı</w:t>
      </w:r>
      <w:r>
        <w:rPr>
          <w:rFonts w:ascii="Tahoma" w:eastAsia="Arial Narrow" w:hAnsi="Tahoma" w:cs="Tahoma"/>
          <w:color w:val="231F20"/>
          <w:spacing w:val="-33"/>
          <w:w w:val="120"/>
          <w:sz w:val="20"/>
          <w:szCs w:val="20"/>
          <w:u w:val="single"/>
          <w:lang w:val="en-GB" w:eastAsia="en-GB" w:bidi="en-GB"/>
        </w:rPr>
        <w:t xml:space="preserve"> </w:t>
      </w:r>
      <w:r>
        <w:rPr>
          <w:rFonts w:ascii="Tahoma" w:eastAsia="Arial Narrow" w:hAnsi="Tahoma" w:cs="Tahoma"/>
          <w:color w:val="231F20"/>
          <w:w w:val="120"/>
          <w:sz w:val="20"/>
          <w:szCs w:val="20"/>
          <w:u w:val="single"/>
          <w:lang w:val="en-GB" w:eastAsia="en-GB" w:bidi="en-GB"/>
        </w:rPr>
        <w:t>ve</w:t>
      </w:r>
      <w:r>
        <w:rPr>
          <w:rFonts w:ascii="Tahoma" w:eastAsia="Arial Narrow" w:hAnsi="Tahoma" w:cs="Tahoma"/>
          <w:color w:val="231F20"/>
          <w:spacing w:val="-33"/>
          <w:w w:val="120"/>
          <w:sz w:val="20"/>
          <w:szCs w:val="20"/>
          <w:u w:val="single"/>
          <w:lang w:val="en-GB" w:eastAsia="en-GB" w:bidi="en-GB"/>
        </w:rPr>
        <w:t xml:space="preserve"> </w:t>
      </w:r>
      <w:r>
        <w:rPr>
          <w:rFonts w:ascii="Tahoma" w:eastAsia="Arial Narrow" w:hAnsi="Tahoma" w:cs="Tahoma"/>
          <w:color w:val="231F20"/>
          <w:w w:val="120"/>
          <w:sz w:val="20"/>
          <w:szCs w:val="20"/>
          <w:u w:val="single"/>
          <w:lang w:val="en-GB" w:eastAsia="en-GB" w:bidi="en-GB"/>
        </w:rPr>
        <w:t>hak</w:t>
      </w:r>
      <w:r>
        <w:rPr>
          <w:rFonts w:ascii="Tahoma" w:eastAsia="Arial Narrow" w:hAnsi="Tahoma" w:cs="Tahoma"/>
          <w:color w:val="231F20"/>
          <w:spacing w:val="-33"/>
          <w:w w:val="120"/>
          <w:sz w:val="20"/>
          <w:szCs w:val="20"/>
          <w:u w:val="single"/>
          <w:lang w:val="en-GB" w:eastAsia="en-GB" w:bidi="en-GB"/>
        </w:rPr>
        <w:t xml:space="preserve"> </w:t>
      </w:r>
      <w:r>
        <w:rPr>
          <w:rFonts w:ascii="Tahoma" w:eastAsia="Arial Narrow" w:hAnsi="Tahoma" w:cs="Tahoma"/>
          <w:color w:val="231F20"/>
          <w:w w:val="120"/>
          <w:sz w:val="20"/>
          <w:szCs w:val="20"/>
          <w:u w:val="single"/>
          <w:lang w:val="en-GB" w:eastAsia="en-GB" w:bidi="en-GB"/>
        </w:rPr>
        <w:t>düşürücü</w:t>
      </w:r>
      <w:r>
        <w:rPr>
          <w:rFonts w:ascii="Tahoma" w:eastAsia="Arial Narrow" w:hAnsi="Tahoma" w:cs="Tahoma"/>
          <w:color w:val="231F20"/>
          <w:spacing w:val="-33"/>
          <w:w w:val="120"/>
          <w:sz w:val="20"/>
          <w:szCs w:val="20"/>
          <w:u w:val="single"/>
          <w:lang w:val="en-GB" w:eastAsia="en-GB" w:bidi="en-GB"/>
        </w:rPr>
        <w:t xml:space="preserve"> </w:t>
      </w:r>
      <w:r>
        <w:rPr>
          <w:rFonts w:ascii="Tahoma" w:eastAsia="Arial Narrow" w:hAnsi="Tahoma" w:cs="Tahoma"/>
          <w:color w:val="231F20"/>
          <w:w w:val="120"/>
          <w:sz w:val="20"/>
          <w:szCs w:val="20"/>
          <w:u w:val="single"/>
          <w:lang w:val="en-GB" w:eastAsia="en-GB" w:bidi="en-GB"/>
        </w:rPr>
        <w:t>sürelerin</w:t>
      </w:r>
      <w:r>
        <w:rPr>
          <w:rFonts w:ascii="Tahoma" w:eastAsia="Arial Narrow" w:hAnsi="Tahoma" w:cs="Tahoma"/>
          <w:color w:val="231F20"/>
          <w:spacing w:val="-33"/>
          <w:w w:val="120"/>
          <w:sz w:val="20"/>
          <w:szCs w:val="20"/>
          <w:u w:val="single"/>
          <w:lang w:val="en-GB" w:eastAsia="en-GB" w:bidi="en-GB"/>
        </w:rPr>
        <w:t xml:space="preserve"> </w:t>
      </w:r>
      <w:r>
        <w:rPr>
          <w:rFonts w:ascii="Tahoma" w:eastAsia="Arial Narrow" w:hAnsi="Tahoma" w:cs="Tahoma"/>
          <w:color w:val="231F20"/>
          <w:w w:val="120"/>
          <w:sz w:val="20"/>
          <w:szCs w:val="20"/>
          <w:u w:val="single"/>
          <w:lang w:val="en-GB" w:eastAsia="en-GB" w:bidi="en-GB"/>
        </w:rPr>
        <w:t>hesaplanmasında</w:t>
      </w:r>
      <w:r>
        <w:rPr>
          <w:rFonts w:ascii="Tahoma" w:eastAsia="Arial Narrow" w:hAnsi="Tahoma" w:cs="Tahoma"/>
          <w:color w:val="231F20"/>
          <w:spacing w:val="-33"/>
          <w:w w:val="120"/>
          <w:sz w:val="20"/>
          <w:szCs w:val="20"/>
          <w:lang w:val="en-GB" w:eastAsia="en-GB" w:bidi="en-GB"/>
        </w:rPr>
        <w:t xml:space="preserve"> </w:t>
      </w:r>
      <w:r>
        <w:rPr>
          <w:rFonts w:ascii="Tahoma" w:eastAsia="Arial Narrow" w:hAnsi="Tahoma" w:cs="Tahoma"/>
          <w:color w:val="231F20"/>
          <w:w w:val="120"/>
          <w:sz w:val="20"/>
          <w:szCs w:val="20"/>
          <w:lang w:val="en-GB" w:eastAsia="en-GB" w:bidi="en-GB"/>
        </w:rPr>
        <w:t>dikkate</w:t>
      </w:r>
      <w:r>
        <w:rPr>
          <w:rFonts w:ascii="Tahoma" w:eastAsia="Arial Narrow" w:hAnsi="Tahoma" w:cs="Tahoma"/>
          <w:color w:val="231F20"/>
          <w:spacing w:val="-33"/>
          <w:w w:val="120"/>
          <w:sz w:val="20"/>
          <w:szCs w:val="20"/>
          <w:lang w:val="en-GB" w:eastAsia="en-GB" w:bidi="en-GB"/>
        </w:rPr>
        <w:t xml:space="preserve"> </w:t>
      </w:r>
      <w:r>
        <w:rPr>
          <w:rFonts w:ascii="Tahoma" w:eastAsia="Arial Narrow" w:hAnsi="Tahoma" w:cs="Tahoma"/>
          <w:color w:val="231F20"/>
          <w:w w:val="120"/>
          <w:sz w:val="20"/>
          <w:szCs w:val="20"/>
          <w:lang w:val="en-GB" w:eastAsia="en-GB" w:bidi="en-GB"/>
        </w:rPr>
        <w:t>alınmaz.</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rPr>
          <w:rFonts w:ascii="Tahoma" w:eastAsia="Arial Narrow" w:hAnsi="Tahoma" w:cs="Tahoma"/>
          <w:color w:val="231F20"/>
          <w:w w:val="120"/>
          <w:sz w:val="20"/>
          <w:szCs w:val="20"/>
          <w:lang w:val="en-GB" w:eastAsia="en-GB" w:bidi="en-GB"/>
        </w:rPr>
        <w:t xml:space="preserve">Arabulucu, bu sıfatla görev yaptığı uyuşmazlık ile ilgili olarak açılan davada, daha </w:t>
      </w:r>
      <w:r>
        <w:rPr>
          <w:rFonts w:ascii="Tahoma" w:eastAsia="Arial Narrow" w:hAnsi="Tahoma" w:cs="Tahoma"/>
          <w:color w:val="231F20"/>
          <w:w w:val="120"/>
          <w:sz w:val="20"/>
          <w:szCs w:val="20"/>
          <w:lang w:val="en-GB" w:eastAsia="en-GB" w:bidi="en-GB"/>
        </w:rPr>
        <w:lastRenderedPageBreak/>
        <w:t xml:space="preserve">sonra avukat olarak görev </w:t>
      </w:r>
      <w:r>
        <w:rPr>
          <w:rFonts w:ascii="Tahoma" w:eastAsia="Arial Narrow" w:hAnsi="Tahoma" w:cs="Tahoma"/>
          <w:color w:val="231F20"/>
          <w:spacing w:val="-38"/>
          <w:w w:val="120"/>
          <w:sz w:val="20"/>
          <w:szCs w:val="20"/>
          <w:lang w:val="en-GB" w:eastAsia="en-GB" w:bidi="en-GB"/>
        </w:rPr>
        <w:t xml:space="preserve"> </w:t>
      </w:r>
      <w:r>
        <w:rPr>
          <w:rFonts w:ascii="Tahoma" w:eastAsia="Arial Narrow" w:hAnsi="Tahoma" w:cs="Tahoma"/>
          <w:color w:val="231F20"/>
          <w:w w:val="120"/>
          <w:sz w:val="20"/>
          <w:szCs w:val="20"/>
          <w:lang w:val="en-GB" w:eastAsia="en-GB" w:bidi="en-GB"/>
        </w:rPr>
        <w:t>üstlenemez.</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rPr>
          <w:rFonts w:ascii="Tahoma" w:eastAsia="Arial Narrow" w:hAnsi="Tahoma" w:cs="Tahoma"/>
          <w:color w:val="231F20"/>
          <w:w w:val="125"/>
          <w:sz w:val="20"/>
          <w:szCs w:val="20"/>
          <w:lang w:val="en-GB" w:eastAsia="en-GB" w:bidi="en-GB"/>
        </w:rPr>
        <w:t>Arabuluculuk</w:t>
      </w:r>
      <w:r>
        <w:rPr>
          <w:rFonts w:ascii="Tahoma" w:eastAsia="Arial Narrow" w:hAnsi="Tahoma" w:cs="Tahoma"/>
          <w:color w:val="231F20"/>
          <w:spacing w:val="-4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yoluyla</w:t>
      </w:r>
      <w:r>
        <w:rPr>
          <w:rFonts w:ascii="Tahoma" w:eastAsia="Arial Narrow" w:hAnsi="Tahoma" w:cs="Tahoma"/>
          <w:color w:val="231F20"/>
          <w:spacing w:val="-4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çözümlenen</w:t>
      </w:r>
      <w:r>
        <w:rPr>
          <w:rFonts w:ascii="Tahoma" w:eastAsia="Arial Narrow" w:hAnsi="Tahoma" w:cs="Tahoma"/>
          <w:color w:val="231F20"/>
          <w:spacing w:val="-4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hukuki</w:t>
      </w:r>
      <w:r>
        <w:rPr>
          <w:rFonts w:ascii="Tahoma" w:eastAsia="Arial Narrow" w:hAnsi="Tahoma" w:cs="Tahoma"/>
          <w:color w:val="231F20"/>
          <w:spacing w:val="-4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uyuşmazlıklar</w:t>
      </w:r>
      <w:r>
        <w:rPr>
          <w:rFonts w:ascii="Tahoma" w:eastAsia="Arial Narrow" w:hAnsi="Tahoma" w:cs="Tahoma"/>
          <w:color w:val="231F20"/>
          <w:spacing w:val="-4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konusunda</w:t>
      </w:r>
      <w:r>
        <w:rPr>
          <w:rFonts w:ascii="Tahoma" w:eastAsia="Arial Narrow" w:hAnsi="Tahoma" w:cs="Tahoma"/>
          <w:color w:val="231F20"/>
          <w:spacing w:val="-4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ara</w:t>
      </w:r>
      <w:r>
        <w:rPr>
          <w:rFonts w:ascii="Tahoma" w:eastAsia="Arial Narrow" w:hAnsi="Tahoma" w:cs="Tahoma"/>
          <w:color w:val="231F20"/>
          <w:w w:val="120"/>
          <w:sz w:val="20"/>
          <w:szCs w:val="20"/>
          <w:lang w:val="en-GB" w:eastAsia="en-GB" w:bidi="en-GB"/>
        </w:rPr>
        <w:t>buluculuk</w:t>
      </w:r>
      <w:r>
        <w:rPr>
          <w:rFonts w:ascii="Tahoma" w:eastAsia="Arial Narrow" w:hAnsi="Tahoma" w:cs="Tahoma"/>
          <w:color w:val="231F20"/>
          <w:spacing w:val="-10"/>
          <w:w w:val="120"/>
          <w:sz w:val="20"/>
          <w:szCs w:val="20"/>
          <w:lang w:val="en-GB" w:eastAsia="en-GB" w:bidi="en-GB"/>
        </w:rPr>
        <w:t xml:space="preserve"> </w:t>
      </w:r>
      <w:r>
        <w:rPr>
          <w:rFonts w:ascii="Tahoma" w:eastAsia="Arial Narrow" w:hAnsi="Tahoma" w:cs="Tahoma"/>
          <w:color w:val="231F20"/>
          <w:w w:val="120"/>
          <w:sz w:val="20"/>
          <w:szCs w:val="20"/>
          <w:lang w:val="en-GB" w:eastAsia="en-GB" w:bidi="en-GB"/>
        </w:rPr>
        <w:t>faaliyeti</w:t>
      </w:r>
      <w:r>
        <w:rPr>
          <w:rFonts w:ascii="Tahoma" w:eastAsia="Arial Narrow" w:hAnsi="Tahoma" w:cs="Tahoma"/>
          <w:color w:val="231F20"/>
          <w:spacing w:val="-10"/>
          <w:w w:val="120"/>
          <w:sz w:val="20"/>
          <w:szCs w:val="20"/>
          <w:lang w:val="en-GB" w:eastAsia="en-GB" w:bidi="en-GB"/>
        </w:rPr>
        <w:t xml:space="preserve"> </w:t>
      </w:r>
      <w:r>
        <w:rPr>
          <w:rFonts w:ascii="Tahoma" w:eastAsia="Arial Narrow" w:hAnsi="Tahoma" w:cs="Tahoma"/>
          <w:color w:val="231F20"/>
          <w:w w:val="120"/>
          <w:sz w:val="20"/>
          <w:szCs w:val="20"/>
          <w:lang w:val="en-GB" w:eastAsia="en-GB" w:bidi="en-GB"/>
        </w:rPr>
        <w:t>sonucunda</w:t>
      </w:r>
      <w:r>
        <w:rPr>
          <w:rFonts w:ascii="Tahoma" w:eastAsia="Arial Narrow" w:hAnsi="Tahoma" w:cs="Tahoma"/>
          <w:color w:val="231F20"/>
          <w:spacing w:val="-10"/>
          <w:w w:val="120"/>
          <w:sz w:val="20"/>
          <w:szCs w:val="20"/>
          <w:lang w:val="en-GB" w:eastAsia="en-GB" w:bidi="en-GB"/>
        </w:rPr>
        <w:t xml:space="preserve"> </w:t>
      </w:r>
      <w:r>
        <w:rPr>
          <w:rFonts w:ascii="Tahoma" w:eastAsia="Arial Narrow" w:hAnsi="Tahoma" w:cs="Tahoma"/>
          <w:color w:val="231F20"/>
          <w:w w:val="120"/>
          <w:sz w:val="20"/>
          <w:szCs w:val="20"/>
          <w:lang w:val="en-GB" w:eastAsia="en-GB" w:bidi="en-GB"/>
        </w:rPr>
        <w:t>anlaşmaya</w:t>
      </w:r>
      <w:r>
        <w:rPr>
          <w:rFonts w:ascii="Tahoma" w:eastAsia="Arial Narrow" w:hAnsi="Tahoma" w:cs="Tahoma"/>
          <w:color w:val="231F20"/>
          <w:spacing w:val="-10"/>
          <w:w w:val="120"/>
          <w:sz w:val="20"/>
          <w:szCs w:val="20"/>
          <w:lang w:val="en-GB" w:eastAsia="en-GB" w:bidi="en-GB"/>
        </w:rPr>
        <w:t xml:space="preserve"> </w:t>
      </w:r>
      <w:r>
        <w:rPr>
          <w:rFonts w:ascii="Tahoma" w:eastAsia="Arial Narrow" w:hAnsi="Tahoma" w:cs="Tahoma"/>
          <w:color w:val="231F20"/>
          <w:w w:val="120"/>
          <w:sz w:val="20"/>
          <w:szCs w:val="20"/>
          <w:lang w:val="en-GB" w:eastAsia="en-GB" w:bidi="en-GB"/>
        </w:rPr>
        <w:t>varılması</w:t>
      </w:r>
      <w:r>
        <w:rPr>
          <w:rFonts w:ascii="Tahoma" w:eastAsia="Arial Narrow" w:hAnsi="Tahoma" w:cs="Tahoma"/>
          <w:color w:val="231F20"/>
          <w:spacing w:val="-10"/>
          <w:w w:val="120"/>
          <w:sz w:val="20"/>
          <w:szCs w:val="20"/>
          <w:lang w:val="en-GB" w:eastAsia="en-GB" w:bidi="en-GB"/>
        </w:rPr>
        <w:t xml:space="preserve"> </w:t>
      </w:r>
      <w:r>
        <w:rPr>
          <w:rFonts w:ascii="Tahoma" w:eastAsia="Arial Narrow" w:hAnsi="Tahoma" w:cs="Tahoma"/>
          <w:color w:val="231F20"/>
          <w:w w:val="120"/>
          <w:sz w:val="20"/>
          <w:szCs w:val="20"/>
          <w:lang w:val="en-GB" w:eastAsia="en-GB" w:bidi="en-GB"/>
        </w:rPr>
        <w:t>halinde</w:t>
      </w:r>
      <w:r>
        <w:rPr>
          <w:rFonts w:ascii="Tahoma" w:eastAsia="Arial Narrow" w:hAnsi="Tahoma" w:cs="Tahoma"/>
          <w:color w:val="231F20"/>
          <w:spacing w:val="-10"/>
          <w:w w:val="120"/>
          <w:sz w:val="20"/>
          <w:szCs w:val="20"/>
          <w:lang w:val="en-GB" w:eastAsia="en-GB" w:bidi="en-GB"/>
        </w:rPr>
        <w:t xml:space="preserve"> </w:t>
      </w:r>
      <w:r>
        <w:rPr>
          <w:rFonts w:ascii="Tahoma" w:eastAsia="Arial Narrow" w:hAnsi="Tahoma" w:cs="Tahoma"/>
          <w:color w:val="231F20"/>
          <w:w w:val="120"/>
          <w:sz w:val="20"/>
          <w:szCs w:val="20"/>
          <w:lang w:val="en-GB" w:eastAsia="en-GB" w:bidi="en-GB"/>
        </w:rPr>
        <w:t>anlaşma</w:t>
      </w:r>
      <w:r>
        <w:rPr>
          <w:rFonts w:ascii="Tahoma" w:eastAsia="Arial Narrow" w:hAnsi="Tahoma" w:cs="Tahoma"/>
          <w:color w:val="231F20"/>
          <w:spacing w:val="-10"/>
          <w:w w:val="120"/>
          <w:sz w:val="20"/>
          <w:szCs w:val="20"/>
          <w:lang w:val="en-GB" w:eastAsia="en-GB" w:bidi="en-GB"/>
        </w:rPr>
        <w:t xml:space="preserve"> </w:t>
      </w:r>
      <w:r>
        <w:rPr>
          <w:rFonts w:ascii="Tahoma" w:eastAsia="Arial Narrow" w:hAnsi="Tahoma" w:cs="Tahoma"/>
          <w:color w:val="231F20"/>
          <w:w w:val="120"/>
          <w:sz w:val="20"/>
          <w:szCs w:val="20"/>
          <w:lang w:val="en-GB" w:eastAsia="en-GB" w:bidi="en-GB"/>
        </w:rPr>
        <w:t>bel</w:t>
      </w:r>
      <w:r>
        <w:rPr>
          <w:rFonts w:ascii="Tahoma" w:eastAsia="Arial Narrow" w:hAnsi="Tahoma" w:cs="Tahoma"/>
          <w:color w:val="231F20"/>
          <w:w w:val="125"/>
          <w:sz w:val="20"/>
          <w:szCs w:val="20"/>
          <w:lang w:val="en-GB" w:eastAsia="en-GB" w:bidi="en-GB"/>
        </w:rPr>
        <w:t>gesi düzenlenir. Bu anlaşmanın gereklerinin taraflardan herhangi biri tarafından</w:t>
      </w:r>
      <w:r>
        <w:rPr>
          <w:rFonts w:ascii="Tahoma" w:eastAsia="Arial Narrow" w:hAnsi="Tahoma" w:cs="Tahoma"/>
          <w:color w:val="231F20"/>
          <w:spacing w:val="2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yerine</w:t>
      </w:r>
      <w:r>
        <w:rPr>
          <w:rFonts w:ascii="Tahoma" w:eastAsia="Arial Narrow" w:hAnsi="Tahoma" w:cs="Tahoma"/>
          <w:color w:val="231F20"/>
          <w:spacing w:val="2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getirilmemesi</w:t>
      </w:r>
      <w:r>
        <w:rPr>
          <w:rFonts w:ascii="Tahoma" w:eastAsia="Arial Narrow" w:hAnsi="Tahoma" w:cs="Tahoma"/>
          <w:color w:val="231F20"/>
          <w:spacing w:val="2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durumunda</w:t>
      </w:r>
      <w:r>
        <w:rPr>
          <w:rFonts w:ascii="Tahoma" w:eastAsia="Arial Narrow" w:hAnsi="Tahoma" w:cs="Tahoma"/>
          <w:color w:val="231F20"/>
          <w:spacing w:val="2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diğer</w:t>
      </w:r>
      <w:r>
        <w:rPr>
          <w:rFonts w:ascii="Tahoma" w:eastAsia="Arial Narrow" w:hAnsi="Tahoma" w:cs="Tahoma"/>
          <w:color w:val="231F20"/>
          <w:spacing w:val="2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taraf</w:t>
      </w:r>
      <w:r>
        <w:rPr>
          <w:rFonts w:ascii="Tahoma" w:eastAsia="Arial Narrow" w:hAnsi="Tahoma" w:cs="Tahoma"/>
          <w:color w:val="231F20"/>
          <w:spacing w:val="2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arabuluculuk</w:t>
      </w:r>
      <w:r>
        <w:rPr>
          <w:rFonts w:ascii="Tahoma" w:eastAsia="Arial Narrow" w:hAnsi="Tahoma" w:cs="Tahoma"/>
          <w:sz w:val="20"/>
          <w:szCs w:val="20"/>
          <w:lang w:val="en-GB" w:eastAsia="en-GB" w:bidi="en-GB"/>
        </w:rPr>
        <w:t xml:space="preserve"> </w:t>
      </w:r>
      <w:r>
        <w:rPr>
          <w:rFonts w:ascii="Tahoma" w:eastAsia="Arial Narrow" w:hAnsi="Tahoma" w:cs="Tahoma"/>
          <w:color w:val="231F20"/>
          <w:w w:val="120"/>
          <w:sz w:val="20"/>
          <w:szCs w:val="20"/>
          <w:lang w:val="en-GB" w:eastAsia="en-GB" w:bidi="en-GB"/>
        </w:rPr>
        <w:t>anlaşma belgesini yetkili mahkemeye ibraz ederek icra edilebilirlik</w:t>
      </w:r>
      <w:r>
        <w:rPr>
          <w:rFonts w:ascii="Tahoma" w:eastAsia="Arial Narrow" w:hAnsi="Tahoma" w:cs="Tahoma"/>
          <w:color w:val="231F20"/>
          <w:spacing w:val="37"/>
          <w:w w:val="120"/>
          <w:sz w:val="20"/>
          <w:szCs w:val="20"/>
          <w:lang w:val="en-GB" w:eastAsia="en-GB" w:bidi="en-GB"/>
        </w:rPr>
        <w:t xml:space="preserve"> </w:t>
      </w:r>
      <w:r>
        <w:rPr>
          <w:rFonts w:ascii="Tahoma" w:eastAsia="Arial Narrow" w:hAnsi="Tahoma" w:cs="Tahoma"/>
          <w:color w:val="231F20"/>
          <w:w w:val="120"/>
          <w:sz w:val="20"/>
          <w:szCs w:val="20"/>
          <w:lang w:val="en-GB" w:eastAsia="en-GB" w:bidi="en-GB"/>
        </w:rPr>
        <w:t>şer</w:t>
      </w:r>
      <w:r>
        <w:rPr>
          <w:rFonts w:ascii="Tahoma" w:eastAsia="Arial Narrow" w:hAnsi="Tahoma" w:cs="Tahoma"/>
          <w:color w:val="231F20"/>
          <w:w w:val="125"/>
          <w:sz w:val="20"/>
          <w:szCs w:val="20"/>
          <w:lang w:val="en-GB" w:eastAsia="en-GB" w:bidi="en-GB"/>
        </w:rPr>
        <w:t>hi verilmesini talep edebilir, bu belge yetkili mahkeme tarafından</w:t>
      </w:r>
      <w:r>
        <w:rPr>
          <w:rFonts w:ascii="Tahoma" w:eastAsia="Arial Narrow" w:hAnsi="Tahoma" w:cs="Tahoma"/>
          <w:color w:val="231F20"/>
          <w:spacing w:val="-39"/>
          <w:w w:val="125"/>
          <w:sz w:val="20"/>
          <w:szCs w:val="20"/>
          <w:lang w:val="en-GB" w:eastAsia="en-GB" w:bidi="en-GB"/>
        </w:rPr>
        <w:t xml:space="preserve"> </w:t>
      </w:r>
      <w:r>
        <w:rPr>
          <w:rFonts w:ascii="Tahoma" w:eastAsia="Arial Narrow" w:hAnsi="Tahoma" w:cs="Tahoma"/>
          <w:color w:val="231F20"/>
          <w:w w:val="125"/>
          <w:sz w:val="20"/>
          <w:szCs w:val="20"/>
          <w:lang w:val="en-GB" w:eastAsia="en-GB" w:bidi="en-GB"/>
        </w:rPr>
        <w:t>şerh verilmesi</w:t>
      </w:r>
      <w:r>
        <w:rPr>
          <w:rFonts w:ascii="Tahoma" w:eastAsia="Arial Narrow" w:hAnsi="Tahoma" w:cs="Tahoma"/>
          <w:color w:val="231F20"/>
          <w:spacing w:val="-1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ile</w:t>
      </w:r>
      <w:r>
        <w:rPr>
          <w:rFonts w:ascii="Tahoma" w:eastAsia="Arial Narrow" w:hAnsi="Tahoma" w:cs="Tahoma"/>
          <w:color w:val="231F20"/>
          <w:spacing w:val="-1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birlikte</w:t>
      </w:r>
      <w:r>
        <w:rPr>
          <w:rFonts w:ascii="Tahoma" w:eastAsia="Arial Narrow" w:hAnsi="Tahoma" w:cs="Tahoma"/>
          <w:color w:val="231F20"/>
          <w:spacing w:val="-1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ilâm</w:t>
      </w:r>
      <w:r>
        <w:rPr>
          <w:rFonts w:ascii="Tahoma" w:eastAsia="Arial Narrow" w:hAnsi="Tahoma" w:cs="Tahoma"/>
          <w:color w:val="231F20"/>
          <w:spacing w:val="-1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niteliğinde</w:t>
      </w:r>
      <w:r>
        <w:rPr>
          <w:rFonts w:ascii="Tahoma" w:eastAsia="Arial Narrow" w:hAnsi="Tahoma" w:cs="Tahoma"/>
          <w:color w:val="231F20"/>
          <w:spacing w:val="-1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belge</w:t>
      </w:r>
      <w:r>
        <w:rPr>
          <w:rFonts w:ascii="Tahoma" w:eastAsia="Arial Narrow" w:hAnsi="Tahoma" w:cs="Tahoma"/>
          <w:color w:val="231F20"/>
          <w:spacing w:val="-1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vasfını</w:t>
      </w:r>
      <w:r>
        <w:rPr>
          <w:rFonts w:ascii="Tahoma" w:eastAsia="Arial Narrow" w:hAnsi="Tahoma" w:cs="Tahoma"/>
          <w:color w:val="231F20"/>
          <w:spacing w:val="-1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kazanarak</w:t>
      </w:r>
      <w:r>
        <w:rPr>
          <w:rFonts w:ascii="Tahoma" w:eastAsia="Arial Narrow" w:hAnsi="Tahoma" w:cs="Tahoma"/>
          <w:color w:val="231F20"/>
          <w:spacing w:val="-11"/>
          <w:w w:val="125"/>
          <w:sz w:val="20"/>
          <w:szCs w:val="20"/>
          <w:lang w:val="en-GB" w:eastAsia="en-GB" w:bidi="en-GB"/>
        </w:rPr>
        <w:t xml:space="preserve"> </w:t>
      </w:r>
      <w:r>
        <w:rPr>
          <w:rFonts w:ascii="Tahoma" w:eastAsia="Arial Narrow" w:hAnsi="Tahoma" w:cs="Tahoma"/>
          <w:color w:val="231F20"/>
          <w:w w:val="125"/>
          <w:sz w:val="20"/>
          <w:szCs w:val="20"/>
          <w:lang w:val="en-GB" w:eastAsia="en-GB" w:bidi="en-GB"/>
        </w:rPr>
        <w:t>mahkeme kararı gibi icra</w:t>
      </w:r>
      <w:r>
        <w:rPr>
          <w:rFonts w:ascii="Tahoma" w:eastAsia="Arial Narrow" w:hAnsi="Tahoma" w:cs="Tahoma"/>
          <w:color w:val="231F20"/>
          <w:spacing w:val="-39"/>
          <w:w w:val="125"/>
          <w:sz w:val="20"/>
          <w:szCs w:val="20"/>
          <w:lang w:val="en-GB" w:eastAsia="en-GB" w:bidi="en-GB"/>
        </w:rPr>
        <w:t xml:space="preserve"> </w:t>
      </w:r>
      <w:r>
        <w:rPr>
          <w:rFonts w:ascii="Tahoma" w:eastAsia="Arial Narrow" w:hAnsi="Tahoma" w:cs="Tahoma"/>
          <w:color w:val="231F20"/>
          <w:w w:val="125"/>
          <w:sz w:val="20"/>
          <w:szCs w:val="20"/>
          <w:lang w:val="en-GB" w:eastAsia="en-GB" w:bidi="en-GB"/>
        </w:rPr>
        <w:t xml:space="preserve">edilir. Arabulucu ile avukatlar ve taraflarca birlikte imza altına alınan arabuluculuk anlaşmaları doğrudan ilam niteliğinde belge vasfını haiz olur. </w:t>
      </w:r>
    </w:p>
    <w:p w:rsidR="009A745D" w:rsidRDefault="009A745D" w:rsidP="009A745D">
      <w:pPr>
        <w:widowControl w:val="0"/>
        <w:numPr>
          <w:ilvl w:val="0"/>
          <w:numId w:val="1"/>
        </w:numPr>
        <w:spacing w:before="170" w:after="0" w:line="288" w:lineRule="auto"/>
        <w:ind w:left="0"/>
        <w:jc w:val="both"/>
        <w:rPr>
          <w:rFonts w:ascii="Tahoma" w:eastAsia="Arial Narrow" w:hAnsi="Tahoma" w:cs="Tahoma"/>
          <w:b/>
          <w:sz w:val="20"/>
          <w:szCs w:val="20"/>
          <w:lang w:val="en-GB" w:eastAsia="en-GB" w:bidi="en-GB"/>
        </w:rPr>
      </w:pPr>
      <w:r>
        <w:rPr>
          <w:rFonts w:ascii="Tahoma" w:eastAsia="Arial Narrow" w:hAnsi="Tahoma" w:cs="Tahoma"/>
          <w:b/>
          <w:color w:val="231F20"/>
          <w:w w:val="125"/>
          <w:sz w:val="20"/>
          <w:szCs w:val="20"/>
          <w:lang w:val="en-GB" w:eastAsia="en-GB" w:bidi="en-GB"/>
        </w:rPr>
        <w:t>DAVA ŞARTI ARABULUCULUK HAKKINDA BİLGİLER:</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b/>
          <w:sz w:val="20"/>
          <w:szCs w:val="20"/>
          <w:u w:val="single"/>
          <w:lang w:val="en-GB" w:eastAsia="en-GB" w:bidi="en-GB"/>
        </w:rPr>
      </w:pPr>
      <w:r>
        <w:rPr>
          <w:rFonts w:ascii="Tahoma" w:hAnsi="Tahoma" w:cs="Tahoma"/>
          <w:b/>
          <w:sz w:val="20"/>
          <w:szCs w:val="20"/>
          <w:u w:val="single"/>
        </w:rPr>
        <w:t>A- TÜKETİCİ HUKUKU KAPSAMINDA TÜKETİCİ MAHKEMELERİNDE GÖRÜLEN UYUŞMAZLIKLARDA DAVA ŞARTI OLARAK DÜZENLENEN ARABULUCULUK :</w:t>
      </w:r>
    </w:p>
    <w:p w:rsidR="009A745D" w:rsidRDefault="009A745D" w:rsidP="009A745D">
      <w:pPr>
        <w:widowControl w:val="0"/>
        <w:numPr>
          <w:ilvl w:val="0"/>
          <w:numId w:val="1"/>
        </w:numPr>
        <w:spacing w:before="170" w:after="0" w:line="288" w:lineRule="auto"/>
        <w:jc w:val="both"/>
        <w:rPr>
          <w:rFonts w:ascii="Tahoma" w:hAnsi="Tahoma" w:cs="Tahoma"/>
          <w:sz w:val="20"/>
          <w:szCs w:val="20"/>
        </w:rPr>
      </w:pPr>
      <w:r>
        <w:rPr>
          <w:rFonts w:ascii="Tahoma" w:hAnsi="Tahoma" w:cs="Tahoma"/>
          <w:sz w:val="20"/>
          <w:szCs w:val="20"/>
        </w:rPr>
        <w:t>28 Temmuz 2020 tarih ve 31199 sayılı Resmi Gazetede yayımlanarak yürürlük kazanan 7251 sayılı 7/11/2013 tarihli ve 6502 sayılı Tüketicinin Korunması Hakkında Kanuna 73 üncü maddesinden sonra gelmek üzere eklenen 73/A maddesi ile düzenlenen Dava Şartı Arabuluculuk hükmüne göre;</w:t>
      </w:r>
    </w:p>
    <w:p w:rsidR="009A745D" w:rsidRDefault="009A745D" w:rsidP="009A745D">
      <w:pPr>
        <w:widowControl w:val="0"/>
        <w:numPr>
          <w:ilvl w:val="0"/>
          <w:numId w:val="1"/>
        </w:numPr>
        <w:spacing w:before="170" w:after="0" w:line="288" w:lineRule="auto"/>
        <w:jc w:val="both"/>
        <w:rPr>
          <w:rFonts w:ascii="Tahoma" w:hAnsi="Tahoma" w:cs="Tahoma"/>
          <w:sz w:val="20"/>
          <w:szCs w:val="20"/>
        </w:rPr>
      </w:pPr>
      <w:r>
        <w:rPr>
          <w:rFonts w:ascii="Tahoma" w:hAnsi="Tahoma" w:cs="Tahoma"/>
          <w:b/>
          <w:i/>
          <w:sz w:val="20"/>
          <w:szCs w:val="20"/>
        </w:rPr>
        <w:t>DAVA ŞARTI ARABULUCULUK KAPSAMI</w:t>
      </w:r>
    </w:p>
    <w:p w:rsidR="009A745D" w:rsidRDefault="009A745D" w:rsidP="009A745D">
      <w:pPr>
        <w:widowControl w:val="0"/>
        <w:numPr>
          <w:ilvl w:val="0"/>
          <w:numId w:val="1"/>
        </w:numPr>
        <w:spacing w:before="170" w:after="0" w:line="288" w:lineRule="auto"/>
        <w:jc w:val="both"/>
        <w:rPr>
          <w:rFonts w:ascii="Tahoma" w:hAnsi="Tahoma" w:cs="Tahoma"/>
          <w:sz w:val="20"/>
          <w:szCs w:val="20"/>
        </w:rPr>
      </w:pPr>
      <w:r>
        <w:rPr>
          <w:rFonts w:ascii="Tahoma" w:hAnsi="Tahoma" w:cs="Tahoma"/>
          <w:sz w:val="20"/>
          <w:szCs w:val="20"/>
        </w:rPr>
        <w:t xml:space="preserve"> (1) Tüketici mahkemelerinde görülen uyuşmazlıklarda (</w:t>
      </w:r>
      <w:r>
        <w:rPr>
          <w:rFonts w:ascii="Tahoma" w:hAnsi="Tahoma" w:cs="Tahoma"/>
          <w:i/>
          <w:sz w:val="20"/>
          <w:szCs w:val="20"/>
        </w:rPr>
        <w:t>6502 SY.73/1-Tüketici işlemleri ile tüketiciye yönelik uygulamalardan doğabilecek uyuşmazlıklara ilişkin davalarda tüketici mahkemeleri görevlidir</w:t>
      </w:r>
      <w:r>
        <w:rPr>
          <w:rFonts w:ascii="Tahoma" w:hAnsi="Tahoma" w:cs="Tahoma"/>
          <w:sz w:val="20"/>
          <w:szCs w:val="20"/>
        </w:rPr>
        <w:t>.), dava açılmadan önce arabulucuya başvurulmuş olması dava şartıdır. Şu kadar ki, aşağıda belirtilen hususlarda dava şartı olarak arabuluculuğa ilişkin hükümler uygulanmaz:</w:t>
      </w:r>
    </w:p>
    <w:p w:rsidR="009A745D" w:rsidRDefault="009A745D" w:rsidP="009A745D">
      <w:pPr>
        <w:widowControl w:val="0"/>
        <w:numPr>
          <w:ilvl w:val="0"/>
          <w:numId w:val="1"/>
        </w:numPr>
        <w:spacing w:before="170" w:after="0" w:line="288" w:lineRule="auto"/>
        <w:jc w:val="both"/>
        <w:rPr>
          <w:rFonts w:ascii="Tahoma" w:hAnsi="Tahoma" w:cs="Tahoma"/>
          <w:sz w:val="20"/>
          <w:szCs w:val="20"/>
        </w:rPr>
      </w:pPr>
      <w:r>
        <w:rPr>
          <w:rFonts w:ascii="Tahoma" w:hAnsi="Tahoma" w:cs="Tahoma"/>
          <w:sz w:val="20"/>
          <w:szCs w:val="20"/>
        </w:rPr>
        <w:t>a) Tüketici hakem heyetinin görevi kapsamında olan uyuşmazlıklar</w:t>
      </w:r>
    </w:p>
    <w:p w:rsidR="009A745D" w:rsidRDefault="009A745D" w:rsidP="009A745D">
      <w:pPr>
        <w:widowControl w:val="0"/>
        <w:numPr>
          <w:ilvl w:val="0"/>
          <w:numId w:val="1"/>
        </w:numPr>
        <w:spacing w:before="170" w:after="0" w:line="288" w:lineRule="auto"/>
        <w:jc w:val="both"/>
        <w:rPr>
          <w:rFonts w:ascii="Tahoma" w:hAnsi="Tahoma" w:cs="Tahoma"/>
          <w:sz w:val="20"/>
          <w:szCs w:val="20"/>
        </w:rPr>
      </w:pPr>
      <w:r>
        <w:rPr>
          <w:rFonts w:ascii="Tahoma" w:hAnsi="Tahoma" w:cs="Tahoma"/>
          <w:sz w:val="20"/>
          <w:szCs w:val="20"/>
        </w:rPr>
        <w:t>b) Tüketici hakem heyeti kararlarına yapılan itirazlar</w:t>
      </w:r>
    </w:p>
    <w:p w:rsidR="009A745D" w:rsidRDefault="009A745D" w:rsidP="009A745D">
      <w:pPr>
        <w:widowControl w:val="0"/>
        <w:numPr>
          <w:ilvl w:val="0"/>
          <w:numId w:val="1"/>
        </w:numPr>
        <w:spacing w:before="170" w:after="0" w:line="288" w:lineRule="auto"/>
        <w:jc w:val="both"/>
        <w:rPr>
          <w:rFonts w:ascii="Tahoma" w:hAnsi="Tahoma" w:cs="Tahoma"/>
          <w:sz w:val="20"/>
          <w:szCs w:val="20"/>
        </w:rPr>
      </w:pPr>
      <w:r>
        <w:rPr>
          <w:rFonts w:ascii="Tahoma" w:hAnsi="Tahoma" w:cs="Tahoma"/>
          <w:sz w:val="20"/>
          <w:szCs w:val="20"/>
        </w:rPr>
        <w:t>c) 73 üncü maddenin altıncı fıkrasında belirtilen davalar</w:t>
      </w:r>
    </w:p>
    <w:p w:rsidR="009A745D" w:rsidRDefault="009A745D" w:rsidP="009A745D">
      <w:pPr>
        <w:widowControl w:val="0"/>
        <w:numPr>
          <w:ilvl w:val="0"/>
          <w:numId w:val="1"/>
        </w:numPr>
        <w:spacing w:before="170" w:after="0" w:line="288" w:lineRule="auto"/>
        <w:jc w:val="both"/>
        <w:rPr>
          <w:rFonts w:ascii="Tahoma" w:hAnsi="Tahoma" w:cs="Tahoma"/>
          <w:sz w:val="20"/>
          <w:szCs w:val="20"/>
        </w:rPr>
      </w:pPr>
      <w:r>
        <w:rPr>
          <w:rFonts w:ascii="Tahoma" w:hAnsi="Tahoma" w:cs="Tahoma"/>
          <w:sz w:val="20"/>
          <w:szCs w:val="20"/>
        </w:rPr>
        <w:t>(</w:t>
      </w:r>
      <w:r>
        <w:rPr>
          <w:rFonts w:ascii="Tahoma" w:hAnsi="Tahoma" w:cs="Tahoma"/>
          <w:i/>
          <w:sz w:val="20"/>
          <w:szCs w:val="20"/>
        </w:rPr>
        <w:t>6502 SY M.73/(6) Tüketici örgütleri, ilgili kamu kurum ve kuruluşları ile Bakanlık; haksız ticari uygulamalar ve ticari reklamlara ilişkin hükümler dışında, genel olarak tüketicileri ilgilendiren ve bu Kanuna aykırı bir durumun doğma tehlikesi olan hâllerde bunun önlenmesine veya durdurulmasına ilişkin ihtiyati tedbir kararı alınması veya hukuka aykırı durumun tespiti, önlenmesi veya durdurulması amacıyla tüketici mahkemelerinde dava açabilir.)</w:t>
      </w:r>
    </w:p>
    <w:p w:rsidR="009A745D" w:rsidRDefault="009A745D" w:rsidP="009A745D">
      <w:pPr>
        <w:widowControl w:val="0"/>
        <w:numPr>
          <w:ilvl w:val="0"/>
          <w:numId w:val="1"/>
        </w:numPr>
        <w:spacing w:before="170" w:after="0" w:line="288" w:lineRule="auto"/>
        <w:jc w:val="both"/>
        <w:rPr>
          <w:rFonts w:ascii="Tahoma" w:hAnsi="Tahoma" w:cs="Tahoma"/>
          <w:sz w:val="20"/>
          <w:szCs w:val="20"/>
        </w:rPr>
      </w:pPr>
      <w:r>
        <w:rPr>
          <w:rFonts w:ascii="Tahoma" w:hAnsi="Tahoma" w:cs="Tahoma"/>
          <w:sz w:val="20"/>
          <w:szCs w:val="20"/>
        </w:rPr>
        <w:t>ç) 74 üncü maddede belirtilen davalar</w:t>
      </w:r>
    </w:p>
    <w:p w:rsidR="009A745D" w:rsidRDefault="009A745D" w:rsidP="009A745D">
      <w:pPr>
        <w:widowControl w:val="0"/>
        <w:numPr>
          <w:ilvl w:val="0"/>
          <w:numId w:val="1"/>
        </w:numPr>
        <w:spacing w:before="170" w:after="0" w:line="288" w:lineRule="auto"/>
        <w:jc w:val="both"/>
        <w:rPr>
          <w:rFonts w:ascii="Tahoma" w:hAnsi="Tahoma" w:cs="Tahoma"/>
          <w:sz w:val="20"/>
          <w:szCs w:val="20"/>
        </w:rPr>
      </w:pPr>
      <w:r>
        <w:rPr>
          <w:rFonts w:ascii="Tahoma" w:hAnsi="Tahoma" w:cs="Tahoma"/>
          <w:sz w:val="20"/>
          <w:szCs w:val="20"/>
        </w:rPr>
        <w:t>(</w:t>
      </w:r>
      <w:r>
        <w:rPr>
          <w:rFonts w:ascii="Tahoma" w:hAnsi="Tahoma" w:cs="Tahoma"/>
          <w:i/>
          <w:sz w:val="20"/>
          <w:szCs w:val="20"/>
        </w:rPr>
        <w:t>6502 SY M.74- Satışa sunulan bir seri malın ayıplı olduğunun tespiti, üretiminin veya satışının durdurulması, ayıbın ortadan kaldırılması ve satış amacıyla elinde bulunduranlardan toplatılması için Bakanlık, tüketiciler veya tüketici örgütleri tarafından açılacak davalar</w:t>
      </w:r>
      <w:r>
        <w:rPr>
          <w:rFonts w:ascii="Tahoma" w:hAnsi="Tahoma" w:cs="Tahoma"/>
          <w:sz w:val="20"/>
          <w:szCs w:val="20"/>
        </w:rPr>
        <w:t>.)</w:t>
      </w:r>
    </w:p>
    <w:p w:rsidR="009A745D" w:rsidRDefault="009A745D" w:rsidP="009A745D">
      <w:pPr>
        <w:widowControl w:val="0"/>
        <w:numPr>
          <w:ilvl w:val="0"/>
          <w:numId w:val="1"/>
        </w:numPr>
        <w:spacing w:before="170" w:after="0" w:line="288" w:lineRule="auto"/>
        <w:jc w:val="both"/>
        <w:rPr>
          <w:rFonts w:ascii="Tahoma" w:hAnsi="Tahoma" w:cs="Tahoma"/>
          <w:sz w:val="20"/>
          <w:szCs w:val="20"/>
        </w:rPr>
      </w:pPr>
      <w:r>
        <w:rPr>
          <w:rFonts w:ascii="Tahoma" w:hAnsi="Tahoma" w:cs="Tahoma"/>
          <w:sz w:val="20"/>
          <w:szCs w:val="20"/>
        </w:rPr>
        <w:t>d) Tüketici işlemi mahiyetinde olan ve taşınmazın aynından doğan uyuşmazlıklar</w:t>
      </w:r>
    </w:p>
    <w:p w:rsidR="009A745D" w:rsidRDefault="009A745D" w:rsidP="009A745D">
      <w:pPr>
        <w:widowControl w:val="0"/>
        <w:numPr>
          <w:ilvl w:val="0"/>
          <w:numId w:val="1"/>
        </w:numPr>
        <w:spacing w:before="170" w:after="0" w:line="288" w:lineRule="auto"/>
        <w:jc w:val="both"/>
        <w:rPr>
          <w:rFonts w:ascii="Tahoma" w:hAnsi="Tahoma" w:cs="Tahoma"/>
          <w:sz w:val="20"/>
          <w:szCs w:val="20"/>
        </w:rPr>
      </w:pPr>
      <w:r>
        <w:rPr>
          <w:rFonts w:ascii="Tahoma" w:hAnsi="Tahoma" w:cs="Tahoma"/>
          <w:sz w:val="20"/>
          <w:szCs w:val="20"/>
        </w:rPr>
        <w:t xml:space="preserve">(Gayrimenkule ilişkin ayni haklar; mülkiyet hakkı (zilyetlik, tapu sicili), irtifak hakları (intifa, sükna, inşaat, kaynak, diğer irtifak hakları), gayrimenkul rehin hakları ) </w:t>
      </w:r>
    </w:p>
    <w:p w:rsidR="009A745D" w:rsidRDefault="009A745D" w:rsidP="009A745D">
      <w:pPr>
        <w:widowControl w:val="0"/>
        <w:numPr>
          <w:ilvl w:val="0"/>
          <w:numId w:val="1"/>
        </w:numPr>
        <w:spacing w:before="170" w:after="0" w:line="288" w:lineRule="auto"/>
        <w:jc w:val="both"/>
        <w:rPr>
          <w:rFonts w:ascii="Tahoma" w:hAnsi="Tahoma" w:cs="Tahoma"/>
          <w:b/>
          <w:i/>
          <w:sz w:val="20"/>
          <w:szCs w:val="20"/>
        </w:rPr>
      </w:pPr>
      <w:r>
        <w:rPr>
          <w:rFonts w:ascii="Tahoma" w:hAnsi="Tahoma" w:cs="Tahoma"/>
          <w:b/>
          <w:i/>
          <w:sz w:val="20"/>
          <w:szCs w:val="20"/>
        </w:rPr>
        <w:lastRenderedPageBreak/>
        <w:t>DAVA ŞARTI ARABULUCULUKTA İLK OTURUMA KATILMAMA YAPTIRIMI</w:t>
      </w:r>
    </w:p>
    <w:p w:rsidR="009A745D" w:rsidRDefault="009A745D" w:rsidP="009A745D">
      <w:pPr>
        <w:widowControl w:val="0"/>
        <w:numPr>
          <w:ilvl w:val="0"/>
          <w:numId w:val="1"/>
        </w:numPr>
        <w:spacing w:before="170" w:after="0" w:line="288" w:lineRule="auto"/>
        <w:jc w:val="both"/>
        <w:rPr>
          <w:rFonts w:ascii="Tahoma" w:hAnsi="Tahoma" w:cs="Tahoma"/>
          <w:b/>
          <w:sz w:val="20"/>
          <w:szCs w:val="20"/>
          <w:u w:val="single"/>
        </w:rPr>
      </w:pPr>
      <w:r>
        <w:rPr>
          <w:rFonts w:ascii="Tahoma" w:hAnsi="Tahoma" w:cs="Tahoma"/>
          <w:sz w:val="20"/>
          <w:szCs w:val="20"/>
        </w:rPr>
        <w:t xml:space="preserve">(2) </w:t>
      </w:r>
      <w:r>
        <w:rPr>
          <w:rFonts w:ascii="Tahoma" w:hAnsi="Tahoma" w:cs="Tahoma"/>
          <w:b/>
          <w:sz w:val="20"/>
          <w:szCs w:val="20"/>
          <w:u w:val="single"/>
        </w:rPr>
        <w:t>7/6/2012 tarihli ve 6325 sayılı Hukuk Uyuşmazlıklarında Arabuluculuk Kanununun 18/A maddesinin on birinci fıkrası  tüketici aleyhine uygulanmaz.</w:t>
      </w:r>
    </w:p>
    <w:p w:rsidR="009A745D" w:rsidRDefault="009A745D" w:rsidP="009A745D">
      <w:pPr>
        <w:pStyle w:val="ListeParagraf"/>
        <w:numPr>
          <w:ilvl w:val="0"/>
          <w:numId w:val="1"/>
        </w:numPr>
        <w:jc w:val="both"/>
        <w:rPr>
          <w:rFonts w:ascii="Tahoma" w:hAnsi="Tahoma" w:cs="Tahoma"/>
          <w:sz w:val="20"/>
          <w:szCs w:val="20"/>
        </w:rPr>
      </w:pPr>
      <w:r>
        <w:rPr>
          <w:rFonts w:ascii="Tahoma" w:hAnsi="Tahoma" w:cs="Tahoma"/>
          <w:sz w:val="20"/>
          <w:szCs w:val="20"/>
        </w:rPr>
        <w:t>(18/A-11</w:t>
      </w:r>
      <w:r>
        <w:t xml:space="preserve"> </w:t>
      </w:r>
      <w:r>
        <w:rPr>
          <w:rFonts w:ascii="Tahoma" w:hAnsi="Tahoma" w:cs="Tahoma"/>
          <w:sz w:val="20"/>
          <w:szCs w:val="20"/>
        </w:rPr>
        <w:t xml:space="preserve">Taraflardan birinin geçerli bir mazeret göstermeksizin ilk toplantıya katılmaması sebebiyle arabuluculuk faaliyetinin sona ermesi durumunda toplantıya katılmayan taraf, son tutanakta belirtilir ve bu taraf davada kısmen veya tamamen haklı çıksa bile yargılama giderinin tamamından sorumlu tutulur. Ayrıca bu taraf lehine vekâlet ücretine hükmedilmez. Her iki tarafın da ilk toplantıya katılmaması sebebiyle sona eren arabuluculuk faaliyeti üzerine açılacak davalarda tarafların yaptıkları yargılama giderleri kendi üzerlerinde bırakılır.) </w:t>
      </w:r>
    </w:p>
    <w:p w:rsidR="009A745D" w:rsidRDefault="009A745D" w:rsidP="009A745D">
      <w:pPr>
        <w:pStyle w:val="ListeParagraf"/>
        <w:ind w:left="1077"/>
        <w:jc w:val="both"/>
        <w:rPr>
          <w:rFonts w:ascii="Tahoma" w:hAnsi="Tahoma" w:cs="Tahoma"/>
          <w:sz w:val="20"/>
          <w:szCs w:val="20"/>
        </w:rPr>
      </w:pPr>
    </w:p>
    <w:p w:rsidR="009A745D" w:rsidRDefault="009A745D" w:rsidP="009A745D">
      <w:pPr>
        <w:pStyle w:val="ListeParagraf"/>
        <w:numPr>
          <w:ilvl w:val="0"/>
          <w:numId w:val="1"/>
        </w:numPr>
        <w:jc w:val="both"/>
        <w:rPr>
          <w:rFonts w:ascii="Tahoma" w:hAnsi="Tahoma" w:cs="Tahoma"/>
          <w:b/>
          <w:i/>
          <w:sz w:val="20"/>
          <w:szCs w:val="20"/>
        </w:rPr>
      </w:pPr>
      <w:r>
        <w:rPr>
          <w:rFonts w:ascii="Tahoma" w:hAnsi="Tahoma" w:cs="Tahoma"/>
          <w:b/>
          <w:i/>
          <w:sz w:val="20"/>
          <w:szCs w:val="20"/>
        </w:rPr>
        <w:t>DAVA ŞARTI ARABULUCULUKTA ARABULUCULUK ÜCRETİ</w:t>
      </w:r>
    </w:p>
    <w:p w:rsidR="009A745D" w:rsidRDefault="009A745D" w:rsidP="009A745D">
      <w:pPr>
        <w:widowControl w:val="0"/>
        <w:numPr>
          <w:ilvl w:val="0"/>
          <w:numId w:val="1"/>
        </w:numPr>
        <w:spacing w:before="170" w:after="0" w:line="288" w:lineRule="auto"/>
        <w:jc w:val="both"/>
        <w:rPr>
          <w:rFonts w:ascii="Tahoma" w:hAnsi="Tahoma" w:cs="Tahoma"/>
          <w:sz w:val="20"/>
          <w:szCs w:val="20"/>
        </w:rPr>
      </w:pPr>
      <w:r>
        <w:rPr>
          <w:rFonts w:ascii="Tahoma" w:hAnsi="Tahoma" w:cs="Tahoma"/>
          <w:sz w:val="20"/>
          <w:szCs w:val="20"/>
        </w:rPr>
        <w:t>(3) Arabuluculuk faaliyeti sonunda taraflara ulaşılamaması, taraflar katılmadığı için görüşme yapılamaması veya tarafların anlaşmaları ya da anlaşamamaları hâlinde tüketicinin ödemesi gereken arabuluculuk ücreti, Adalet Bakanlığı bütçesinden karşılanır. Ancak belirtilen hâllerde arabuluculuk ücreti, Arabuluculuk Asgari Ücret Tarifesinin eki Arabuluculuk Ücret Tarifesinin Birinci Kısmına göre iki saatlik ücret tutarını geçemez.</w:t>
      </w:r>
    </w:p>
    <w:p w:rsidR="009A745D" w:rsidRDefault="009A745D" w:rsidP="009A745D">
      <w:pPr>
        <w:widowControl w:val="0"/>
        <w:numPr>
          <w:ilvl w:val="0"/>
          <w:numId w:val="1"/>
        </w:numPr>
        <w:spacing w:before="170" w:after="0" w:line="288" w:lineRule="auto"/>
        <w:jc w:val="both"/>
        <w:rPr>
          <w:rFonts w:ascii="Tahoma" w:hAnsi="Tahoma" w:cs="Tahoma"/>
          <w:sz w:val="20"/>
          <w:szCs w:val="20"/>
        </w:rPr>
      </w:pPr>
      <w:r>
        <w:rPr>
          <w:rFonts w:ascii="Tahoma" w:hAnsi="Tahoma" w:cs="Tahoma"/>
          <w:sz w:val="20"/>
          <w:szCs w:val="20"/>
        </w:rPr>
        <w:t>(4) Arabuluculuk faaliyeti sonunda açılan davanın tüketici lehine sonuçlanması hâlinde arabuluculuk ücreti, 6183 sayılı Kanun hükümlerine göre davalıdan tahsil olunarak bütçeye gelir kaydedilir.”</w:t>
      </w:r>
    </w:p>
    <w:p w:rsidR="009A745D" w:rsidRDefault="009A745D" w:rsidP="009A745D">
      <w:pPr>
        <w:widowControl w:val="0"/>
        <w:numPr>
          <w:ilvl w:val="0"/>
          <w:numId w:val="1"/>
        </w:numPr>
        <w:spacing w:before="170" w:after="0" w:line="288" w:lineRule="auto"/>
        <w:jc w:val="both"/>
        <w:rPr>
          <w:rFonts w:ascii="Tahoma" w:hAnsi="Tahoma" w:cs="Tahoma"/>
          <w:sz w:val="20"/>
          <w:szCs w:val="20"/>
        </w:rPr>
      </w:pPr>
      <w:r>
        <w:rPr>
          <w:rFonts w:ascii="Tahoma" w:hAnsi="Tahoma" w:cs="Tahoma"/>
          <w:sz w:val="20"/>
          <w:szCs w:val="20"/>
        </w:rPr>
        <w:t>Ayrıca 6502 sayılı Kanuna aşağıdaki geçici madde eklenmiştir.</w:t>
      </w:r>
    </w:p>
    <w:p w:rsidR="009A745D" w:rsidRDefault="009A745D" w:rsidP="009A745D">
      <w:pPr>
        <w:widowControl w:val="0"/>
        <w:numPr>
          <w:ilvl w:val="0"/>
          <w:numId w:val="1"/>
        </w:numPr>
        <w:spacing w:before="170" w:after="0" w:line="288" w:lineRule="auto"/>
        <w:jc w:val="both"/>
        <w:rPr>
          <w:rFonts w:ascii="Tahoma" w:hAnsi="Tahoma" w:cs="Tahoma"/>
          <w:sz w:val="20"/>
          <w:szCs w:val="20"/>
        </w:rPr>
      </w:pPr>
      <w:r>
        <w:rPr>
          <w:rFonts w:ascii="Tahoma" w:hAnsi="Tahoma" w:cs="Tahoma"/>
          <w:sz w:val="20"/>
          <w:szCs w:val="20"/>
        </w:rPr>
        <w:t>“GEÇİCİ MADDE 2 uyarınca; (1) Bu Kanunun dava şartı olarak arabuluculuğa ilişkin hükümleri, bu hükümlerin yürürlüğe girdiği tarih itibarıyla ilk derece mahkemeleri ve bölge adliye mahkemeleri ile Yargıtayda görülmekte olan davalar hakkında uygulanmaz.”</w:t>
      </w:r>
    </w:p>
    <w:p w:rsidR="009A745D" w:rsidRDefault="009A745D" w:rsidP="009A745D">
      <w:pPr>
        <w:widowControl w:val="0"/>
        <w:numPr>
          <w:ilvl w:val="0"/>
          <w:numId w:val="1"/>
        </w:numPr>
        <w:spacing w:before="170" w:after="0" w:line="288" w:lineRule="auto"/>
        <w:jc w:val="both"/>
        <w:rPr>
          <w:rFonts w:ascii="Tahoma" w:hAnsi="Tahoma" w:cs="Tahoma"/>
          <w:b/>
          <w:sz w:val="20"/>
          <w:szCs w:val="20"/>
        </w:rPr>
      </w:pPr>
      <w:r>
        <w:rPr>
          <w:rFonts w:ascii="Tahoma" w:hAnsi="Tahoma" w:cs="Tahoma"/>
          <w:b/>
          <w:sz w:val="20"/>
          <w:szCs w:val="20"/>
        </w:rPr>
        <w:t>B- TÜKETİCİ HUKUKU UYUŞMAZLIKLARINDA DAVA ŞARTI ARABULUCULUK SÜRECİNE UYGULANACAK USUL HÜKÜMLERİ:</w:t>
      </w:r>
    </w:p>
    <w:p w:rsidR="009A745D" w:rsidRDefault="009A745D" w:rsidP="009A745D">
      <w:pPr>
        <w:widowControl w:val="0"/>
        <w:numPr>
          <w:ilvl w:val="0"/>
          <w:numId w:val="1"/>
        </w:numPr>
        <w:spacing w:before="170" w:after="0" w:line="288" w:lineRule="auto"/>
        <w:jc w:val="both"/>
        <w:rPr>
          <w:rFonts w:ascii="Tahoma" w:hAnsi="Tahoma" w:cs="Tahoma"/>
          <w:sz w:val="20"/>
          <w:szCs w:val="20"/>
        </w:rPr>
      </w:pPr>
      <w:r>
        <w:rPr>
          <w:rFonts w:ascii="Tahoma" w:eastAsia="Arial Narrow" w:hAnsi="Tahoma" w:cs="Tahoma"/>
          <w:sz w:val="20"/>
          <w:szCs w:val="20"/>
          <w:lang w:val="en-GB" w:eastAsia="en-GB" w:bidi="en-GB"/>
        </w:rPr>
        <w:t>Tüketici ile satıcı/sağlayıcı arasındaki tüketici mahkemelerinde görülen ve 73/A maddesinde dava şartı arabuluculuk kapsamına alınan uyuşmazlıklarda izlenecek arabuluculuk usul ve esasları, 6325 sayılı yasanın 18/A maddesi birinci fıkra hükmü uyarınca 18/A maddesinde düzenleme altına alınan esaslara göre ve bu maddede hüküm bulunmayan hallerde 6325 sayılı yasanın diğer hükümlerine göre belirleneceği yasa ile düzenlenmiştir. Buna göre;</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 xml:space="preserve"> (1) İlgili kanunlarda arabulucuya başvurulmuş olması dava şartı olarak kabul edilmiş ise arabuluculuk sürecine aşağıdaki hükümler uygulanır. </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 xml:space="preserve">(2) </w:t>
      </w:r>
      <w:r>
        <w:rPr>
          <w:b/>
          <w:u w:val="single"/>
        </w:rPr>
        <w:t>Davacı, arabuluculuk faaliyeti sonunda anlaşmaya varılamadığına ilişkin son tutanağın aslını veya arabulucu tarafından onaylanmış bir örneğini dava dilekçesine eklemek zorundadır.</w:t>
      </w:r>
      <w:r>
        <w:t xml:space="preserve"> Bu zorunluluğa uyulmaması hâlinde mahkemece davacıya, son tutanağın bir haftalık kesin süre içinde mahkemeye sunulması gerektiği, aksi takdirde davanın usulden 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 </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 xml:space="preserve">(3) Daire Başkanlığı, sicile kayıtlı arabuluculardan bu madde uyarınca arabuluculuk yapmak isteyenleri, varsa uzmanlık alanlarını da belirterek, görev yapmak istedikleri adli yargı ilk derece mahkemesi adalet komisyonlarına göre listeler ve listeleri ilgili komisyon başkanlıklarına bildirir. </w:t>
      </w:r>
      <w:r>
        <w:lastRenderedPageBreak/>
        <w:t xml:space="preserve">Komisyon başkanlıkları, bu listeleri kendi yargı çevrelerindeki arabuluculuk bürolarına, arabuluculuk bürosu kurulmayan yerlerde ise görevlendirecekleri sulh hukuk mahkemesi yazı işleri müdürlüğüne gönderir. </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 xml:space="preserve">(4) Başvuru, uyuşmazlığın konusuna göre yetkili mahkemenin bulunduğu yer arabuluculuk bürosuna, arabuluculuk bürosu kurulmayan yerlerde ise görevlendirilen yazı işleri müdürlüğüne yapılır. </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 xml:space="preserve">(5) Arabulucu, komisyon başkanlıklarına bildirilen listeden büro tarafından belirlenir. Ancak tarafların listede yer alan herhangi bir arabulucu üzerinde anlaşmaları hâlinde bu arabulucu görevlendirilir. </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 xml:space="preserve">(6) Başvuran taraf, kendisine ve elinde bulunması hâlinde karşı tarafa ait her türlü iletişim bilgisini arabuluculuk bürosuna verir. Büro, tarafların resmî kayıtlarda yer alan iletişim bilgilerini araştırmaya da yetkilidir. İlgili kurum ve kuruluşlar, büro tarafından talep edilen bilgi ve belgeleri vermekle yükümlüdür. </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 xml:space="preserve">(7) Taraflara ait iletişim bilgileri, görevlendirilen arabulucuya büro tarafından verilir. Arabulucu bu iletişim bilgilerini esas alır, ihtiyaç duyduğunda kendiliğinden araştırma da yapabilir. Elindeki bilgiler itibarıyla her türlü iletişim vasıtasını kullanarak görevlendirme konusunda tarafları bilgilendirir ve ilk toplantıya davet eder. Bilgilendirme ve davete ilişkin işlemlerini belgeye bağlar. </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 xml:space="preserve">(8) Arabulucu, görevlendirmeyi yapan büronun yetkili olup olmadığını kendiliğinden dikkate alamaz. Karşı taraf en geç ilk toplantıda, yetkiye ilişkin belgeleri sunmak suretiyle arabuluculuk bürosunun yetkisine itiraz edebilir. Bu durumda arabulucu, dosyayı derhâl ilgili sulh hukuk mahkemesine gönderilmek üzere büroya teslim eder. Mahkeme, harç alınmaksızın dosya üzerinden yapacağı inceleme sonunda en geç bir hafta içinde yetkili büroyu kesin olarak karara bağlar ve dosyayı büroya iade eder. Mahkeme kararı büro tarafından 11/2/1959 tarihli ve 7201 sayılı Tebligat Kanunu hükümleri uyarınca taraflara tebliğ edilir. Yetki itirazının reddi durumunda aynı arabulucu yeniden görevlendirilir ve dokuzuncu fıkrada belirtilen süreler yeni görevlendirme tarihinden başlar. Yetki itirazının kabulü durumunda ise kararın tebliğinden itibaren bir hafta içinde yetkili büroya başvurulabilir. Bu takdirde yetkisiz büroya başvurma tarihi yetkili büroya başvurma tarihi olarak kabul edilir. Yetkili büro, beşinci fıkra uyarınca arabulucu görevlendirir. </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 xml:space="preserve">(9) </w:t>
      </w:r>
      <w:r>
        <w:rPr>
          <w:u w:val="single"/>
        </w:rPr>
        <w:t>Arabulucu, yapılan başvuruyu görevlendirildiği tarihten itibaren üç hafta içinde sonuçlandırır. Bu süre zorunlu hâllerde arabulucu tarafından en fazla bir hafta uzatılabilir.</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 xml:space="preserve">(10) Arabulucu; taraflara ulaşılamaması veya taraflar katılmadığı için görüşme yapılamaması ya da tarafların anlaşması yahut tarafların anlaşamaması hâllerinde arabuluculuk faaliyetini sona erdirir ve son tutanağı düzenleyerek durumu derhâl arabuluculuk bürosuna bildirir. </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(11) Taraflardan birinin geçerli bir mazeret göstermeksizin ilk toplantıya katılmaması sebebiyle arabuluculuk faaliyetinin sona ermesi durumunda toplantıya katılmayan taraf, son tutanakta belirtilir ve bu taraf davada kısmen veya tamamen haklı çıksa bile yargılama giderinin tamamından sorumlu tutulur. Ayrıca bu taraf lehine vekâlet ücretine hükmedilmez. Her iki tarafın da ilk toplantıya katılmaması sebebiyle sona eren arabuluculuk faaliyeti üzerine açılacak davalarda tarafların yaptıkları yargılama giderleri kendi üzerlerinde bırakılır. (</w:t>
      </w:r>
      <w:r>
        <w:rPr>
          <w:b/>
          <w:i/>
        </w:rPr>
        <w:t>6502 sayılı yasa 73/A maddesi ikinci fıkra hükmü uyarınca tüketici aleyhine uygulanamaz.</w:t>
      </w:r>
      <w:r>
        <w:t>)</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lastRenderedPageBreak/>
        <w:t xml:space="preserve">(12) 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 xml:space="preserve">(13) 6502 sayılı yasa 73/A maddesi 3. Fıkra uyarınca ; Arabuluculuk faaliyeti sonunda taraflara ulaşılamaması, taraflar katılmadığı için görüşme yapılamaması veya tarafların anlaşmaları ya da anlaşamamaları hâlinde tüketicinin ödemesi gereken arabuluculuk ücreti, Adalet Bakanlığı bütçesinden karşılanır. Ancak belirtilen hâllerde arabuluculuk ücreti, Arabuluculuk Asgari Ücret Tarifesinin eki Arabuluculuk Ücret Tarifesinin Birinci Kısmına göre iki saatlik ücret tutarını geçemez. </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 xml:space="preserve">(14) 6502 sayılı yasa 73/A maddesi 4. Fıkra uyarınca </w:t>
      </w:r>
      <w:r>
        <w:rPr>
          <w:rFonts w:ascii="Tahoma" w:hAnsi="Tahoma" w:cs="Tahoma"/>
          <w:sz w:val="20"/>
          <w:szCs w:val="20"/>
        </w:rPr>
        <w:t>Arabuluculuk faaliyeti sonunda açılan davanın tüketici lehine sonuçlanması hâlinde arabuluculuk ücreti, 6183 sayılı Kanun hükümlerine göre davalıdan tahsil olunarak bütçeye gelir kaydedilir.</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 xml:space="preserve">(15) Arabuluculuk bürosuna başvurulmasından son tutanağın düzenlendiği tarihe kadar geçen sürede zamanaşımı durur ve hak düşürücü süre işlemez. </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 xml:space="preserve">(16) Dava açılmadan önce ihtiyati tedbir kararı verilmesi hâlinde 6100 sayılı Kanunun 397 nci maddesinin birinci fıkrasında, ihtiyati haciz kararı verilmesi hâlinde ise 9/6/1932 tarihli ve 2004 sayılı İcra ve İflas Kanununun 264 üncü maddesinin birinci fıkrasında düzenlenen dava açma süresi, arabuluculuk bürosuna başvurulmasından son tutanağın düzenlendiği tarihe kadar işlemez. </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 xml:space="preserve">(17) Arabuluculuk görüşmeleri, taraflarca aksi kararlaştırılmadıkça, arabulucuyu görevlendiren büronun bağlı bulunduğu adli yargı ilk derece mahkemesi adalet komisyonunun yetki alanı içinde yürütülür. </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 xml:space="preserve">(18) Özel kanunlarda tahkim veya başka bir alternatif uyuşmazlık çözüm yoluna başvurma zorunluluğunun olduğu veya tahkim sözleşmesinin bulunduğu hâllerde, dava şartı olarak arabuluculuğa ilişkin hükümler uygulanmaz. </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 xml:space="preserve">(19) İlgili kanunlarda dava şartı olarak arabuluculuğa ilişkin kabul edilen özel hükümler saklıdır. </w:t>
      </w:r>
    </w:p>
    <w:p w:rsidR="009A745D" w:rsidRDefault="009A745D" w:rsidP="009A745D">
      <w:pPr>
        <w:widowControl w:val="0"/>
        <w:numPr>
          <w:ilvl w:val="0"/>
          <w:numId w:val="1"/>
        </w:numPr>
        <w:spacing w:before="170" w:after="0" w:line="288" w:lineRule="auto"/>
        <w:ind w:left="0" w:firstLine="0"/>
        <w:jc w:val="both"/>
        <w:rPr>
          <w:rFonts w:ascii="Tahoma" w:eastAsia="Arial Narrow" w:hAnsi="Tahoma" w:cs="Tahoma"/>
          <w:sz w:val="20"/>
          <w:szCs w:val="20"/>
          <w:lang w:val="en-GB" w:eastAsia="en-GB" w:bidi="en-GB"/>
        </w:rPr>
      </w:pPr>
      <w:r>
        <w:t>(20) Bu bölümde hüküm bulunmayan hâllerde niteliğine uygun düştüğü ölçüde bu Kanunun (6325 sayılı Hukuk Uyuşmazlıklarında Arabuluculuk Kanununun) diğer hükümleri uygulanır.</w:t>
      </w:r>
    </w:p>
    <w:p w:rsidR="009A745D" w:rsidRDefault="009A745D" w:rsidP="00BA3494">
      <w:pPr>
        <w:widowControl w:val="0"/>
        <w:numPr>
          <w:ilvl w:val="0"/>
          <w:numId w:val="1"/>
        </w:numPr>
        <w:spacing w:after="0" w:line="288" w:lineRule="auto"/>
        <w:ind w:left="0" w:firstLine="0"/>
        <w:jc w:val="both"/>
        <w:rPr>
          <w:rFonts w:ascii="Tahoma" w:eastAsia="Arial Narrow" w:hAnsi="Tahoma" w:cs="Tahoma"/>
          <w:sz w:val="20"/>
          <w:szCs w:val="20"/>
          <w:lang w:val="en-GB" w:eastAsia="en-GB" w:bidi="en-GB"/>
        </w:rPr>
      </w:pPr>
      <w:r>
        <w:rPr>
          <w:rFonts w:ascii="Tahoma" w:eastAsia="Arial Narrow" w:hAnsi="Tahoma" w:cs="Tahoma"/>
          <w:color w:val="231F20"/>
          <w:w w:val="120"/>
          <w:sz w:val="20"/>
          <w:szCs w:val="20"/>
          <w:lang w:val="en-GB" w:eastAsia="en-GB" w:bidi="en-GB"/>
        </w:rPr>
        <w:t xml:space="preserve">Taraflar arabuluculuk süreç ve esasları ile anlaşmanın hukuki niteliği ile ilgili, iş bu imzaya konu belge içindeki açıklamaları anladıklarını ve arabulucunun tarafsızlığından şüphe edilmesini gerektirecek hiçbir hal ve şartın olmadığından bahisle arabuluculuk sürecine başlamak istediklerini ifade ettiler. </w:t>
      </w:r>
    </w:p>
    <w:p w:rsidR="009A745D" w:rsidRDefault="009A745D" w:rsidP="00BA3494">
      <w:pPr>
        <w:widowControl w:val="0"/>
        <w:numPr>
          <w:ilvl w:val="0"/>
          <w:numId w:val="1"/>
        </w:numPr>
        <w:spacing w:after="0" w:line="288" w:lineRule="auto"/>
        <w:ind w:left="0" w:firstLine="0"/>
        <w:jc w:val="both"/>
        <w:rPr>
          <w:rFonts w:ascii="Tahoma" w:eastAsia="Arial Narrow" w:hAnsi="Tahoma" w:cs="Tahoma"/>
          <w:sz w:val="20"/>
          <w:szCs w:val="20"/>
          <w:lang w:val="en-GB" w:eastAsia="en-GB" w:bidi="en-GB"/>
        </w:rPr>
      </w:pPr>
      <w:r>
        <w:rPr>
          <w:rFonts w:ascii="Tahoma" w:eastAsia="Arial Narrow" w:hAnsi="Tahoma" w:cs="Tahoma"/>
          <w:b/>
          <w:color w:val="231F20"/>
          <w:w w:val="120"/>
          <w:sz w:val="20"/>
          <w:szCs w:val="20"/>
          <w:lang w:val="en-GB" w:eastAsia="en-GB" w:bidi="en-GB"/>
        </w:rPr>
        <w:t xml:space="preserve">İşbu tutanak üç nüsha olarak düzenlenmiştir. </w:t>
      </w:r>
      <w:r>
        <w:rPr>
          <w:rFonts w:ascii="Tahoma" w:eastAsia="Arial Narrow" w:hAnsi="Tahoma" w:cs="Tahoma"/>
          <w:color w:val="231F20"/>
          <w:w w:val="120"/>
          <w:sz w:val="20"/>
          <w:szCs w:val="20"/>
          <w:lang w:val="en-GB" w:eastAsia="en-GB" w:bidi="en-GB"/>
        </w:rPr>
        <w:t>..... /..... /.....</w:t>
      </w:r>
    </w:p>
    <w:p w:rsidR="00BA3494" w:rsidRDefault="00BA3494" w:rsidP="00BA3494">
      <w:pPr>
        <w:widowControl w:val="0"/>
        <w:tabs>
          <w:tab w:val="left" w:pos="5244"/>
        </w:tabs>
        <w:spacing w:after="0" w:line="240" w:lineRule="auto"/>
        <w:ind w:left="-142" w:firstLine="142"/>
        <w:jc w:val="both"/>
        <w:rPr>
          <w:rFonts w:ascii="Tahoma" w:eastAsia="Arial Narrow" w:hAnsi="Tahoma" w:cs="Tahoma"/>
          <w:i/>
          <w:color w:val="231F20"/>
          <w:w w:val="110"/>
          <w:sz w:val="20"/>
          <w:szCs w:val="20"/>
          <w:lang w:val="en-GB" w:eastAsia="en-GB" w:bidi="en-GB"/>
        </w:rPr>
      </w:pPr>
    </w:p>
    <w:p w:rsidR="009A745D" w:rsidRDefault="009A745D" w:rsidP="009A745D">
      <w:pPr>
        <w:widowControl w:val="0"/>
        <w:tabs>
          <w:tab w:val="left" w:pos="5244"/>
        </w:tabs>
        <w:spacing w:after="0" w:line="240" w:lineRule="auto"/>
        <w:ind w:left="-142" w:firstLine="142"/>
        <w:jc w:val="both"/>
        <w:rPr>
          <w:rFonts w:ascii="Tahoma" w:eastAsia="Arial Narrow" w:hAnsi="Tahoma" w:cs="Tahoma"/>
          <w:i/>
          <w:sz w:val="20"/>
          <w:szCs w:val="20"/>
          <w:lang w:val="en-GB" w:eastAsia="en-GB" w:bidi="en-GB"/>
        </w:rPr>
      </w:pPr>
      <w:r>
        <w:rPr>
          <w:rFonts w:ascii="Tahoma" w:eastAsia="Arial Narrow" w:hAnsi="Tahoma" w:cs="Tahoma"/>
          <w:i/>
          <w:color w:val="231F20"/>
          <w:w w:val="110"/>
          <w:sz w:val="20"/>
          <w:szCs w:val="20"/>
          <w:lang w:val="en-GB" w:eastAsia="en-GB" w:bidi="en-GB"/>
        </w:rPr>
        <w:t>(Ad,soyad, TC Kimlik no.</w:t>
      </w:r>
      <w:r>
        <w:rPr>
          <w:rFonts w:ascii="Tahoma" w:eastAsia="Arial Narrow" w:hAnsi="Tahoma" w:cs="Tahoma"/>
          <w:i/>
          <w:color w:val="231F20"/>
          <w:spacing w:val="23"/>
          <w:w w:val="110"/>
          <w:sz w:val="20"/>
          <w:szCs w:val="20"/>
          <w:lang w:val="en-GB" w:eastAsia="en-GB" w:bidi="en-GB"/>
        </w:rPr>
        <w:t xml:space="preserve"> </w:t>
      </w:r>
      <w:r>
        <w:rPr>
          <w:rFonts w:ascii="Tahoma" w:eastAsia="Arial Narrow" w:hAnsi="Tahoma" w:cs="Tahoma"/>
          <w:i/>
          <w:color w:val="231F20"/>
          <w:w w:val="110"/>
          <w:sz w:val="20"/>
          <w:szCs w:val="20"/>
          <w:lang w:val="en-GB" w:eastAsia="en-GB" w:bidi="en-GB"/>
        </w:rPr>
        <w:t>ve</w:t>
      </w:r>
      <w:r>
        <w:rPr>
          <w:rFonts w:ascii="Tahoma" w:eastAsia="Arial Narrow" w:hAnsi="Tahoma" w:cs="Tahoma"/>
          <w:i/>
          <w:color w:val="231F20"/>
          <w:spacing w:val="5"/>
          <w:w w:val="110"/>
          <w:sz w:val="20"/>
          <w:szCs w:val="20"/>
          <w:lang w:val="en-GB" w:eastAsia="en-GB" w:bidi="en-GB"/>
        </w:rPr>
        <w:t xml:space="preserve"> </w:t>
      </w:r>
      <w:r>
        <w:rPr>
          <w:rFonts w:ascii="Tahoma" w:eastAsia="Arial Narrow" w:hAnsi="Tahoma" w:cs="Tahoma"/>
          <w:i/>
          <w:color w:val="231F20"/>
          <w:w w:val="110"/>
          <w:sz w:val="20"/>
          <w:szCs w:val="20"/>
          <w:lang w:val="en-GB" w:eastAsia="en-GB" w:bidi="en-GB"/>
        </w:rPr>
        <w:t>imza)</w:t>
      </w:r>
      <w:r>
        <w:rPr>
          <w:rFonts w:ascii="Tahoma" w:eastAsia="Arial Narrow" w:hAnsi="Tahoma" w:cs="Tahoma"/>
          <w:i/>
          <w:color w:val="231F20"/>
          <w:w w:val="110"/>
          <w:sz w:val="20"/>
          <w:szCs w:val="20"/>
          <w:lang w:val="en-GB" w:eastAsia="en-GB" w:bidi="en-GB"/>
        </w:rPr>
        <w:tab/>
        <w:t>(Ad, soyad, TC Kimlik no. ve</w:t>
      </w:r>
      <w:r>
        <w:rPr>
          <w:rFonts w:ascii="Tahoma" w:eastAsia="Arial Narrow" w:hAnsi="Tahoma" w:cs="Tahoma"/>
          <w:i/>
          <w:color w:val="231F20"/>
          <w:spacing w:val="-13"/>
          <w:w w:val="110"/>
          <w:sz w:val="20"/>
          <w:szCs w:val="20"/>
          <w:lang w:val="en-GB" w:eastAsia="en-GB" w:bidi="en-GB"/>
        </w:rPr>
        <w:t xml:space="preserve"> </w:t>
      </w:r>
      <w:r>
        <w:rPr>
          <w:rFonts w:ascii="Tahoma" w:eastAsia="Arial Narrow" w:hAnsi="Tahoma" w:cs="Tahoma"/>
          <w:i/>
          <w:color w:val="231F20"/>
          <w:w w:val="110"/>
          <w:sz w:val="20"/>
          <w:szCs w:val="20"/>
          <w:lang w:val="en-GB" w:eastAsia="en-GB" w:bidi="en-GB"/>
        </w:rPr>
        <w:t>imza)</w:t>
      </w:r>
    </w:p>
    <w:p w:rsidR="009A745D" w:rsidRDefault="009A745D" w:rsidP="009A745D">
      <w:pPr>
        <w:widowControl w:val="0"/>
        <w:tabs>
          <w:tab w:val="left" w:pos="5244"/>
        </w:tabs>
        <w:spacing w:before="50" w:after="0" w:line="240" w:lineRule="auto"/>
        <w:ind w:left="793" w:firstLine="142"/>
        <w:jc w:val="both"/>
        <w:outlineLvl w:val="6"/>
        <w:rPr>
          <w:rFonts w:ascii="Tahoma" w:eastAsia="Trebuchet MS" w:hAnsi="Tahoma" w:cs="Tahoma"/>
          <w:b/>
          <w:bCs/>
          <w:sz w:val="20"/>
          <w:szCs w:val="20"/>
          <w:lang w:val="en-GB" w:eastAsia="en-GB" w:bidi="en-GB"/>
        </w:rPr>
      </w:pPr>
      <w:r>
        <w:rPr>
          <w:rFonts w:ascii="Tahoma" w:eastAsia="Trebuchet MS" w:hAnsi="Tahoma" w:cs="Tahoma"/>
          <w:b/>
          <w:bCs/>
          <w:color w:val="231F20"/>
          <w:sz w:val="20"/>
          <w:szCs w:val="20"/>
          <w:lang w:val="en-GB" w:eastAsia="en-GB" w:bidi="en-GB"/>
        </w:rPr>
        <w:t>Taraf</w:t>
      </w:r>
      <w:r>
        <w:rPr>
          <w:rFonts w:ascii="Tahoma" w:eastAsia="Trebuchet MS" w:hAnsi="Tahoma" w:cs="Tahoma"/>
          <w:b/>
          <w:bCs/>
          <w:color w:val="231F20"/>
          <w:sz w:val="20"/>
          <w:szCs w:val="20"/>
          <w:lang w:val="en-GB" w:eastAsia="en-GB" w:bidi="en-GB"/>
        </w:rPr>
        <w:tab/>
        <w:t>Taraf</w:t>
      </w:r>
    </w:p>
    <w:p w:rsidR="009A745D" w:rsidRDefault="009A745D" w:rsidP="009A745D">
      <w:pPr>
        <w:widowControl w:val="0"/>
        <w:spacing w:before="1" w:after="0" w:line="240" w:lineRule="auto"/>
        <w:ind w:left="567" w:firstLine="142"/>
        <w:jc w:val="both"/>
        <w:rPr>
          <w:rFonts w:ascii="Tahoma" w:eastAsia="Arial Narrow" w:hAnsi="Tahoma" w:cs="Tahoma"/>
          <w:i/>
          <w:sz w:val="20"/>
          <w:szCs w:val="20"/>
          <w:lang w:val="en-GB" w:eastAsia="en-GB" w:bidi="en-GB"/>
        </w:rPr>
      </w:pPr>
      <w:r>
        <w:rPr>
          <w:rFonts w:ascii="Tahoma" w:eastAsia="Arial Narrow" w:hAnsi="Tahoma" w:cs="Tahoma"/>
          <w:i/>
          <w:color w:val="231F20"/>
          <w:w w:val="110"/>
          <w:sz w:val="20"/>
          <w:szCs w:val="20"/>
          <w:lang w:val="en-GB" w:eastAsia="en-GB" w:bidi="en-GB"/>
        </w:rPr>
        <w:t>(Ad, soyad ve imza)</w:t>
      </w:r>
    </w:p>
    <w:p w:rsidR="009A745D" w:rsidRDefault="009A745D" w:rsidP="009A745D">
      <w:pPr>
        <w:widowControl w:val="0"/>
        <w:spacing w:before="50" w:after="0" w:line="240" w:lineRule="auto"/>
        <w:ind w:left="-142" w:firstLine="993"/>
        <w:jc w:val="both"/>
        <w:outlineLvl w:val="6"/>
        <w:rPr>
          <w:rFonts w:ascii="Tahoma" w:eastAsia="Trebuchet MS" w:hAnsi="Tahoma" w:cs="Tahoma"/>
          <w:b/>
          <w:bCs/>
          <w:color w:val="231F20"/>
          <w:sz w:val="20"/>
          <w:szCs w:val="20"/>
          <w:lang w:val="en-GB" w:eastAsia="en-GB" w:bidi="en-GB"/>
        </w:rPr>
      </w:pPr>
      <w:r>
        <w:rPr>
          <w:rFonts w:ascii="Tahoma" w:eastAsia="Trebuchet MS" w:hAnsi="Tahoma" w:cs="Tahoma"/>
          <w:b/>
          <w:bCs/>
          <w:color w:val="231F20"/>
          <w:sz w:val="20"/>
          <w:szCs w:val="20"/>
          <w:lang w:val="en-GB" w:eastAsia="en-GB" w:bidi="en-GB"/>
        </w:rPr>
        <w:t>Arabulucu</w:t>
      </w:r>
    </w:p>
    <w:p w:rsidR="009A745D" w:rsidRDefault="009A745D" w:rsidP="009A745D">
      <w:pPr>
        <w:widowControl w:val="0"/>
        <w:spacing w:before="50" w:after="0" w:line="240" w:lineRule="auto"/>
        <w:ind w:left="-142" w:firstLine="993"/>
        <w:jc w:val="both"/>
        <w:outlineLvl w:val="6"/>
        <w:rPr>
          <w:rFonts w:ascii="Tahoma" w:eastAsia="Trebuchet MS" w:hAnsi="Tahoma" w:cs="Tahoma"/>
          <w:b/>
          <w:bCs/>
          <w:sz w:val="20"/>
          <w:szCs w:val="20"/>
          <w:lang w:val="en-GB" w:eastAsia="en-GB" w:bidi="en-GB"/>
        </w:rPr>
      </w:pPr>
      <w:r>
        <w:rPr>
          <w:rFonts w:ascii="Tahoma" w:eastAsia="Trebuchet MS" w:hAnsi="Tahoma" w:cs="Tahoma"/>
          <w:b/>
          <w:bCs/>
          <w:color w:val="231F20"/>
          <w:sz w:val="20"/>
          <w:szCs w:val="20"/>
          <w:lang w:val="en-GB" w:eastAsia="en-GB" w:bidi="en-GB"/>
        </w:rPr>
        <w:t>Av.Arb.Dilek Yumrutaş</w:t>
      </w:r>
    </w:p>
    <w:p w:rsidR="009A745D" w:rsidRDefault="009A745D" w:rsidP="009A745D">
      <w:pPr>
        <w:widowControl w:val="0"/>
        <w:spacing w:after="0" w:line="240" w:lineRule="auto"/>
        <w:ind w:left="-142" w:firstLine="709"/>
        <w:jc w:val="both"/>
        <w:rPr>
          <w:rFonts w:ascii="Tahoma" w:eastAsia="Arial Narrow" w:hAnsi="Tahoma" w:cs="Tahoma"/>
          <w:i/>
          <w:color w:val="231F20"/>
          <w:w w:val="115"/>
          <w:sz w:val="20"/>
          <w:szCs w:val="20"/>
          <w:lang w:val="en-GB" w:eastAsia="en-GB" w:bidi="en-GB"/>
        </w:rPr>
      </w:pPr>
      <w:r>
        <w:rPr>
          <w:rFonts w:ascii="Tahoma" w:eastAsia="Arial Narrow" w:hAnsi="Tahoma" w:cs="Tahoma"/>
          <w:color w:val="231F20"/>
          <w:w w:val="120"/>
          <w:sz w:val="20"/>
          <w:szCs w:val="20"/>
          <w:lang w:val="en-GB" w:eastAsia="en-GB" w:bidi="en-GB"/>
        </w:rPr>
        <w:t xml:space="preserve">Arabuluculuk Sicil No: 83 </w:t>
      </w:r>
      <w:r>
        <w:rPr>
          <w:noProof/>
          <w:lang w:eastAsia="tr-TR"/>
        </w:rPr>
        <mc:AlternateContent>
          <mc:Choice Requires="wps">
            <w:drawing>
              <wp:anchor distT="0" distB="0" distL="114300" distR="114300" simplePos="0" relativeHeight="251659264" behindDoc="0" locked="0" layoutInCell="1" allowOverlap="1">
                <wp:simplePos x="0" y="0"/>
                <wp:positionH relativeFrom="page">
                  <wp:posOffset>1259840</wp:posOffset>
                </wp:positionH>
                <wp:positionV relativeFrom="paragraph">
                  <wp:posOffset>239395</wp:posOffset>
                </wp:positionV>
                <wp:extent cx="4139565" cy="0"/>
                <wp:effectExtent l="0" t="0" r="32385" b="1905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9565" cy="0"/>
                        </a:xfrm>
                        <a:prstGeom prst="line">
                          <a:avLst/>
                        </a:prstGeom>
                        <a:noFill/>
                        <a:ln w="6480">
                          <a:solidFill>
                            <a:srgbClr val="F795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3C30E"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2pt,18.85pt" to="425.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" strokecolor="#f79548" strokeweight=".18mm">
                <w10:wrap anchorx="page"/>
              </v:line>
            </w:pict>
          </mc:Fallback>
        </mc:AlternateContent>
      </w:r>
      <w:r>
        <w:rPr>
          <w:rFonts w:ascii="Tahoma" w:eastAsia="Arial Narrow" w:hAnsi="Tahoma" w:cs="Tahoma"/>
          <w:i/>
          <w:color w:val="231F20"/>
          <w:w w:val="115"/>
          <w:sz w:val="20"/>
          <w:szCs w:val="20"/>
          <w:lang w:val="en-GB" w:eastAsia="en-GB" w:bidi="en-GB"/>
        </w:rPr>
        <w:t xml:space="preserve"> </w:t>
      </w:r>
    </w:p>
    <w:p w:rsidR="009A745D" w:rsidRDefault="009A745D" w:rsidP="009A745D">
      <w:pPr>
        <w:widowControl w:val="0"/>
        <w:spacing w:after="0" w:line="240" w:lineRule="auto"/>
        <w:ind w:hanging="1077"/>
        <w:rPr>
          <w:rFonts w:ascii="Tahoma" w:eastAsia="Arial Narrow" w:hAnsi="Tahoma" w:cs="Tahoma"/>
          <w:i/>
          <w:color w:val="231F20"/>
          <w:w w:val="115"/>
          <w:sz w:val="20"/>
          <w:szCs w:val="20"/>
          <w:lang w:val="en-GB" w:eastAsia="en-GB" w:bidi="en-GB"/>
        </w:rPr>
      </w:pPr>
    </w:p>
    <w:p w:rsidR="009A745D" w:rsidRPr="00BA3494" w:rsidRDefault="009A745D" w:rsidP="009A745D">
      <w:pPr>
        <w:widowControl w:val="0"/>
        <w:spacing w:after="0" w:line="240" w:lineRule="auto"/>
        <w:ind w:hanging="1077"/>
        <w:rPr>
          <w:rFonts w:ascii="Tahoma" w:hAnsi="Tahoma" w:cs="Tahoma"/>
          <w:sz w:val="18"/>
          <w:szCs w:val="18"/>
        </w:rPr>
      </w:pPr>
      <w:r>
        <w:rPr>
          <w:rFonts w:ascii="Tahoma" w:eastAsia="Arial Narrow" w:hAnsi="Tahoma" w:cs="Tahoma"/>
          <w:i/>
          <w:color w:val="231F20"/>
          <w:w w:val="115"/>
          <w:sz w:val="20"/>
          <w:szCs w:val="20"/>
          <w:lang w:val="en-GB" w:eastAsia="en-GB" w:bidi="en-GB"/>
        </w:rPr>
        <w:t xml:space="preserve">    </w:t>
      </w:r>
      <w:r w:rsidRPr="00BA3494">
        <w:rPr>
          <w:rFonts w:ascii="Tahoma" w:eastAsia="Arial Narrow" w:hAnsi="Tahoma" w:cs="Tahoma"/>
          <w:i/>
          <w:color w:val="231F20"/>
          <w:w w:val="115"/>
          <w:sz w:val="18"/>
          <w:szCs w:val="18"/>
          <w:lang w:val="en-GB" w:eastAsia="en-GB" w:bidi="en-GB"/>
        </w:rPr>
        <w:t>Bu tutanak taraf sayısından bir fazla nüsha olarak düzenlenir; taraflarda ve arabulucunun kendisinde kalır.</w:t>
      </w:r>
    </w:p>
    <w:sectPr w:rsidR="009A745D" w:rsidRPr="00BA3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6610C"/>
    <w:multiLevelType w:val="multilevel"/>
    <w:tmpl w:val="88849822"/>
    <w:lvl w:ilvl="0">
      <w:start w:val="1"/>
      <w:numFmt w:val="bullet"/>
      <w:lvlText w:val=""/>
      <w:lvlJc w:val="left"/>
      <w:pPr>
        <w:ind w:left="1077" w:hanging="284"/>
      </w:pPr>
      <w:rPr>
        <w:rFonts w:ascii="Wingdings 2" w:hAnsi="Wingdings 2" w:cs="Wingdings 2" w:hint="default"/>
        <w:color w:val="F79548"/>
        <w:w w:val="100"/>
        <w:sz w:val="20"/>
        <w:szCs w:val="20"/>
        <w:lang w:val="en-GB" w:eastAsia="en-GB" w:bidi="en-GB"/>
      </w:rPr>
    </w:lvl>
    <w:lvl w:ilvl="1">
      <w:start w:val="1"/>
      <w:numFmt w:val="bullet"/>
      <w:lvlText w:val=""/>
      <w:lvlJc w:val="left"/>
      <w:pPr>
        <w:ind w:left="1927" w:hanging="284"/>
      </w:pPr>
      <w:rPr>
        <w:rFonts w:ascii="Wingdings 2" w:hAnsi="Wingdings 2" w:cs="Wingdings 2" w:hint="default"/>
        <w:color w:val="F79548"/>
        <w:w w:val="100"/>
        <w:sz w:val="20"/>
        <w:szCs w:val="20"/>
        <w:lang w:val="en-GB" w:eastAsia="en-GB" w:bidi="en-GB"/>
      </w:rPr>
    </w:lvl>
    <w:lvl w:ilvl="2">
      <w:start w:val="1"/>
      <w:numFmt w:val="bullet"/>
      <w:lvlText w:val=""/>
      <w:lvlJc w:val="left"/>
      <w:pPr>
        <w:ind w:left="2739" w:hanging="284"/>
      </w:pPr>
      <w:rPr>
        <w:rFonts w:ascii="Symbol" w:hAnsi="Symbol" w:cs="Symbol" w:hint="default"/>
        <w:lang w:val="en-GB" w:eastAsia="en-GB" w:bidi="en-GB"/>
      </w:rPr>
    </w:lvl>
    <w:lvl w:ilvl="3">
      <w:start w:val="1"/>
      <w:numFmt w:val="bullet"/>
      <w:lvlText w:val=""/>
      <w:lvlJc w:val="left"/>
      <w:pPr>
        <w:ind w:left="3559" w:hanging="284"/>
      </w:pPr>
      <w:rPr>
        <w:rFonts w:ascii="Symbol" w:hAnsi="Symbol" w:cs="Symbol" w:hint="default"/>
        <w:lang w:val="en-GB" w:eastAsia="en-GB" w:bidi="en-GB"/>
      </w:rPr>
    </w:lvl>
    <w:lvl w:ilvl="4">
      <w:start w:val="1"/>
      <w:numFmt w:val="bullet"/>
      <w:lvlText w:val=""/>
      <w:lvlJc w:val="left"/>
      <w:pPr>
        <w:ind w:left="4379" w:hanging="284"/>
      </w:pPr>
      <w:rPr>
        <w:rFonts w:ascii="Symbol" w:hAnsi="Symbol" w:cs="Symbol" w:hint="default"/>
        <w:lang w:val="en-GB" w:eastAsia="en-GB" w:bidi="en-GB"/>
      </w:rPr>
    </w:lvl>
    <w:lvl w:ilvl="5">
      <w:start w:val="1"/>
      <w:numFmt w:val="bullet"/>
      <w:lvlText w:val=""/>
      <w:lvlJc w:val="left"/>
      <w:pPr>
        <w:ind w:left="5199" w:hanging="284"/>
      </w:pPr>
      <w:rPr>
        <w:rFonts w:ascii="Symbol" w:hAnsi="Symbol" w:cs="Symbol" w:hint="default"/>
        <w:lang w:val="en-GB" w:eastAsia="en-GB" w:bidi="en-GB"/>
      </w:rPr>
    </w:lvl>
    <w:lvl w:ilvl="6">
      <w:start w:val="1"/>
      <w:numFmt w:val="bullet"/>
      <w:lvlText w:val=""/>
      <w:lvlJc w:val="left"/>
      <w:pPr>
        <w:ind w:left="6018" w:hanging="284"/>
      </w:pPr>
      <w:rPr>
        <w:rFonts w:ascii="Symbol" w:hAnsi="Symbol" w:cs="Symbol" w:hint="default"/>
        <w:lang w:val="en-GB" w:eastAsia="en-GB" w:bidi="en-GB"/>
      </w:rPr>
    </w:lvl>
    <w:lvl w:ilvl="7">
      <w:start w:val="1"/>
      <w:numFmt w:val="bullet"/>
      <w:lvlText w:val=""/>
      <w:lvlJc w:val="left"/>
      <w:pPr>
        <w:ind w:left="6838" w:hanging="284"/>
      </w:pPr>
      <w:rPr>
        <w:rFonts w:ascii="Symbol" w:hAnsi="Symbol" w:cs="Symbol" w:hint="default"/>
        <w:lang w:val="en-GB" w:eastAsia="en-GB" w:bidi="en-GB"/>
      </w:rPr>
    </w:lvl>
    <w:lvl w:ilvl="8">
      <w:start w:val="1"/>
      <w:numFmt w:val="bullet"/>
      <w:lvlText w:val=""/>
      <w:lvlJc w:val="left"/>
      <w:pPr>
        <w:ind w:left="7658" w:hanging="284"/>
      </w:pPr>
      <w:rPr>
        <w:rFonts w:ascii="Symbol" w:hAnsi="Symbol" w:cs="Symbol"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5D"/>
    <w:rsid w:val="00070441"/>
    <w:rsid w:val="00493289"/>
    <w:rsid w:val="0052375A"/>
    <w:rsid w:val="00571D0E"/>
    <w:rsid w:val="009A745D"/>
    <w:rsid w:val="00A63AFA"/>
    <w:rsid w:val="00A8794D"/>
    <w:rsid w:val="00AA70AE"/>
    <w:rsid w:val="00BA3494"/>
    <w:rsid w:val="00D469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94550-5AB3-4FD5-B766-19FE86F6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45D"/>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7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5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2360</Words>
  <Characters>13453</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Dilek Yumrutaş</cp:lastModifiedBy>
  <cp:revision>2</cp:revision>
  <dcterms:created xsi:type="dcterms:W3CDTF">2020-07-29T10:39:00Z</dcterms:created>
  <dcterms:modified xsi:type="dcterms:W3CDTF">2020-07-29T10:39:00Z</dcterms:modified>
</cp:coreProperties>
</file>