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69C" w:rsidRDefault="000B569C" w:rsidP="000B569C">
      <w:pPr>
        <w:pStyle w:val="Balk21"/>
      </w:pPr>
      <w:r>
        <w:rPr>
          <w:color w:val="F79548"/>
          <w:w w:val="85"/>
        </w:rPr>
        <w:t>İCRA EDİLEBİLİRLİK ŞERHİ</w:t>
      </w:r>
    </w:p>
    <w:p w:rsidR="000B569C" w:rsidRDefault="000B569C" w:rsidP="000B569C">
      <w:pPr>
        <w:pStyle w:val="Balk61"/>
        <w:tabs>
          <w:tab w:val="left" w:pos="3084"/>
          <w:tab w:val="left" w:pos="6057"/>
        </w:tabs>
        <w:spacing w:before="153" w:line="450" w:lineRule="atLeast"/>
        <w:ind w:left="1644" w:right="1679"/>
      </w:pPr>
      <w:r>
        <w:rPr>
          <w:color w:val="231F20"/>
          <w:w w:val="80"/>
        </w:rPr>
        <w:t>T.C.</w:t>
      </w:r>
      <w:r>
        <w:rPr>
          <w:color w:val="231F20"/>
          <w:spacing w:val="42"/>
          <w:w w:val="80"/>
        </w:rPr>
        <w:t xml:space="preserve"> </w:t>
      </w:r>
      <w:r>
        <w:rPr>
          <w:color w:val="231F20"/>
          <w:w w:val="80"/>
        </w:rPr>
        <w:t>..............................................</w:t>
      </w:r>
      <w:r>
        <w:rPr>
          <w:color w:val="231F20"/>
          <w:spacing w:val="42"/>
          <w:w w:val="80"/>
        </w:rPr>
        <w:t xml:space="preserve"> </w:t>
      </w:r>
      <w:r>
        <w:rPr>
          <w:color w:val="231F20"/>
          <w:w w:val="80"/>
        </w:rPr>
        <w:t>MAHKEMESİ</w:t>
      </w:r>
      <w:r>
        <w:rPr>
          <w:color w:val="231F20"/>
          <w:w w:val="80"/>
        </w:rPr>
        <w:tab/>
      </w:r>
      <w:r>
        <w:rPr>
          <w:color w:val="231F20"/>
          <w:w w:val="90"/>
        </w:rPr>
        <w:t>ESAS</w:t>
      </w:r>
      <w:r>
        <w:rPr>
          <w:color w:val="231F20"/>
          <w:spacing w:val="-28"/>
          <w:w w:val="90"/>
        </w:rPr>
        <w:t xml:space="preserve"> </w:t>
      </w:r>
      <w:r>
        <w:rPr>
          <w:color w:val="231F20"/>
          <w:w w:val="90"/>
        </w:rPr>
        <w:t>NO:</w:t>
      </w:r>
      <w:r>
        <w:rPr>
          <w:color w:val="231F20"/>
          <w:spacing w:val="-28"/>
          <w:w w:val="90"/>
        </w:rPr>
        <w:t xml:space="preserve"> </w:t>
      </w:r>
      <w:r>
        <w:rPr>
          <w:color w:val="231F20"/>
          <w:w w:val="90"/>
        </w:rPr>
        <w:t xml:space="preserve">............ </w:t>
      </w:r>
      <w:r>
        <w:rPr>
          <w:color w:val="231F20"/>
        </w:rPr>
        <w:t>HÂKİM</w:t>
      </w:r>
      <w:r>
        <w:rPr>
          <w:color w:val="231F20"/>
        </w:rPr>
        <w:tab/>
        <w:t>:</w:t>
      </w:r>
    </w:p>
    <w:p w:rsidR="000B569C" w:rsidRDefault="000B569C" w:rsidP="000B569C">
      <w:pPr>
        <w:tabs>
          <w:tab w:val="left" w:pos="3084"/>
        </w:tabs>
        <w:spacing w:before="104"/>
        <w:ind w:left="1644"/>
        <w:rPr>
          <w:rFonts w:ascii="Trebuchet MS" w:hAnsi="Trebuchet MS"/>
          <w:b/>
          <w:sz w:val="20"/>
        </w:rPr>
      </w:pPr>
      <w:r>
        <w:rPr>
          <w:rFonts w:ascii="Trebuchet MS" w:hAnsi="Trebuchet MS"/>
          <w:b/>
          <w:color w:val="231F20"/>
          <w:sz w:val="20"/>
        </w:rPr>
        <w:t>KÂTİP</w:t>
      </w:r>
      <w:r>
        <w:rPr>
          <w:rFonts w:ascii="Trebuchet MS" w:hAnsi="Trebuchet MS"/>
          <w:b/>
          <w:color w:val="231F20"/>
          <w:sz w:val="20"/>
        </w:rPr>
        <w:tab/>
        <w:t>:</w:t>
      </w:r>
    </w:p>
    <w:p w:rsidR="000B569C" w:rsidRDefault="000B569C" w:rsidP="000B569C">
      <w:pPr>
        <w:tabs>
          <w:tab w:val="left" w:pos="3084"/>
        </w:tabs>
        <w:spacing w:line="450" w:lineRule="atLeast"/>
        <w:ind w:left="1644" w:right="4006"/>
        <w:rPr>
          <w:rFonts w:ascii="Trebuchet MS" w:hAnsi="Trebuchet MS"/>
          <w:b/>
          <w:sz w:val="20"/>
        </w:rPr>
      </w:pPr>
      <w:r>
        <w:rPr>
          <w:rFonts w:ascii="Trebuchet MS" w:hAnsi="Trebuchet MS"/>
          <w:b/>
          <w:color w:val="231F20"/>
          <w:sz w:val="20"/>
        </w:rPr>
        <w:t>İCRA EDİLEBİLİRLİK ŞERHİ TALEP EDEN VEKİLİ</w:t>
      </w:r>
      <w:r>
        <w:rPr>
          <w:rFonts w:ascii="Trebuchet MS" w:hAnsi="Trebuchet MS"/>
          <w:b/>
          <w:color w:val="231F20"/>
          <w:sz w:val="20"/>
        </w:rPr>
        <w:tab/>
        <w:t>:</w:t>
      </w:r>
    </w:p>
    <w:p w:rsidR="000B569C" w:rsidRDefault="000B569C" w:rsidP="000B569C">
      <w:pPr>
        <w:tabs>
          <w:tab w:val="left" w:pos="3084"/>
        </w:tabs>
        <w:spacing w:before="104"/>
        <w:ind w:left="1644"/>
        <w:rPr>
          <w:rFonts w:ascii="Trebuchet MS"/>
          <w:b/>
          <w:sz w:val="20"/>
        </w:rPr>
      </w:pPr>
      <w:r>
        <w:rPr>
          <w:rFonts w:ascii="Trebuchet MS"/>
          <w:b/>
          <w:color w:val="231F20"/>
          <w:sz w:val="20"/>
        </w:rPr>
        <w:t>TALEP</w:t>
      </w:r>
      <w:r>
        <w:rPr>
          <w:rFonts w:ascii="Trebuchet MS"/>
          <w:b/>
          <w:color w:val="231F20"/>
          <w:sz w:val="20"/>
        </w:rPr>
        <w:tab/>
        <w:t>:</w:t>
      </w:r>
    </w:p>
    <w:p w:rsidR="000B569C" w:rsidRDefault="000B569C" w:rsidP="000B569C">
      <w:pPr>
        <w:spacing w:before="105"/>
        <w:ind w:left="1644"/>
        <w:rPr>
          <w:rFonts w:ascii="Trebuchet MS" w:hAnsi="Trebuchet MS"/>
          <w:b/>
          <w:sz w:val="20"/>
        </w:rPr>
      </w:pPr>
      <w:r>
        <w:rPr>
          <w:rFonts w:ascii="Trebuchet MS" w:hAnsi="Trebuchet MS"/>
          <w:b/>
          <w:color w:val="231F20"/>
          <w:sz w:val="20"/>
        </w:rPr>
        <w:t>TALEPTARİHİ   :</w:t>
      </w:r>
    </w:p>
    <w:p w:rsidR="000B569C" w:rsidRDefault="000B569C" w:rsidP="000B569C">
      <w:pPr>
        <w:pStyle w:val="GvdeMetni"/>
        <w:spacing w:before="3"/>
        <w:rPr>
          <w:rFonts w:ascii="Trebuchet MS"/>
          <w:b/>
          <w:sz w:val="10"/>
        </w:rPr>
      </w:pPr>
    </w:p>
    <w:p w:rsidR="000B569C" w:rsidRDefault="000B569C" w:rsidP="003C0067">
      <w:pPr>
        <w:pStyle w:val="GvdeMetni"/>
        <w:spacing w:before="99" w:line="292" w:lineRule="auto"/>
        <w:ind w:left="1644" w:right="1131"/>
        <w:jc w:val="both"/>
      </w:pPr>
      <w:r>
        <w:rPr>
          <w:color w:val="231F20"/>
          <w:w w:val="125"/>
        </w:rPr>
        <w:t>Mahkememize</w:t>
      </w:r>
      <w:r>
        <w:rPr>
          <w:color w:val="231F20"/>
          <w:spacing w:val="-7"/>
          <w:w w:val="125"/>
        </w:rPr>
        <w:t xml:space="preserve"> </w:t>
      </w:r>
      <w:r>
        <w:rPr>
          <w:color w:val="231F20"/>
          <w:w w:val="125"/>
        </w:rPr>
        <w:t>tevzi</w:t>
      </w:r>
      <w:r>
        <w:rPr>
          <w:color w:val="231F20"/>
          <w:spacing w:val="-7"/>
          <w:w w:val="125"/>
        </w:rPr>
        <w:t xml:space="preserve"> </w:t>
      </w:r>
      <w:r>
        <w:rPr>
          <w:color w:val="231F20"/>
          <w:w w:val="125"/>
        </w:rPr>
        <w:t>bürosunca</w:t>
      </w:r>
      <w:r>
        <w:rPr>
          <w:color w:val="231F20"/>
          <w:spacing w:val="-7"/>
          <w:w w:val="125"/>
        </w:rPr>
        <w:t xml:space="preserve"> </w:t>
      </w:r>
      <w:r>
        <w:rPr>
          <w:color w:val="231F20"/>
          <w:w w:val="125"/>
        </w:rPr>
        <w:t>tevzi</w:t>
      </w:r>
      <w:r>
        <w:rPr>
          <w:color w:val="231F20"/>
          <w:spacing w:val="-7"/>
          <w:w w:val="125"/>
        </w:rPr>
        <w:t xml:space="preserve"> </w:t>
      </w:r>
      <w:r>
        <w:rPr>
          <w:color w:val="231F20"/>
          <w:w w:val="125"/>
        </w:rPr>
        <w:t>yolu</w:t>
      </w:r>
      <w:r>
        <w:rPr>
          <w:color w:val="231F20"/>
          <w:spacing w:val="-7"/>
          <w:w w:val="125"/>
        </w:rPr>
        <w:t xml:space="preserve"> </w:t>
      </w:r>
      <w:r>
        <w:rPr>
          <w:color w:val="231F20"/>
          <w:w w:val="125"/>
        </w:rPr>
        <w:t>ile</w:t>
      </w:r>
      <w:r>
        <w:rPr>
          <w:color w:val="231F20"/>
          <w:spacing w:val="-7"/>
          <w:w w:val="125"/>
        </w:rPr>
        <w:t xml:space="preserve"> </w:t>
      </w:r>
      <w:r>
        <w:rPr>
          <w:color w:val="231F20"/>
          <w:w w:val="125"/>
        </w:rPr>
        <w:t>gelip</w:t>
      </w:r>
      <w:r>
        <w:rPr>
          <w:color w:val="231F20"/>
          <w:spacing w:val="-7"/>
          <w:w w:val="125"/>
        </w:rPr>
        <w:t xml:space="preserve"> </w:t>
      </w:r>
      <w:r>
        <w:rPr>
          <w:color w:val="231F20"/>
          <w:w w:val="125"/>
        </w:rPr>
        <w:t>esasa</w:t>
      </w:r>
      <w:r>
        <w:rPr>
          <w:color w:val="231F20"/>
          <w:spacing w:val="-7"/>
          <w:w w:val="125"/>
        </w:rPr>
        <w:t xml:space="preserve"> </w:t>
      </w:r>
      <w:r>
        <w:rPr>
          <w:color w:val="231F20"/>
          <w:w w:val="125"/>
        </w:rPr>
        <w:t>kayıt</w:t>
      </w:r>
      <w:r>
        <w:rPr>
          <w:color w:val="231F20"/>
          <w:spacing w:val="-7"/>
          <w:w w:val="125"/>
        </w:rPr>
        <w:t xml:space="preserve"> </w:t>
      </w:r>
      <w:r>
        <w:rPr>
          <w:color w:val="231F20"/>
          <w:w w:val="125"/>
        </w:rPr>
        <w:t>edilen</w:t>
      </w:r>
      <w:r>
        <w:rPr>
          <w:color w:val="231F20"/>
          <w:spacing w:val="-7"/>
          <w:w w:val="125"/>
        </w:rPr>
        <w:t xml:space="preserve"> </w:t>
      </w:r>
      <w:r>
        <w:rPr>
          <w:color w:val="231F20"/>
          <w:w w:val="125"/>
        </w:rPr>
        <w:t>İcra edilebilirlik şerhine</w:t>
      </w:r>
      <w:r>
        <w:rPr>
          <w:color w:val="231F20"/>
          <w:spacing w:val="-26"/>
          <w:w w:val="125"/>
        </w:rPr>
        <w:t xml:space="preserve"> </w:t>
      </w:r>
      <w:r>
        <w:rPr>
          <w:color w:val="231F20"/>
          <w:w w:val="125"/>
        </w:rPr>
        <w:t>ilişkin;</w:t>
      </w:r>
    </w:p>
    <w:p w:rsidR="000B569C" w:rsidRDefault="000B569C" w:rsidP="003C0067">
      <w:pPr>
        <w:pStyle w:val="GvdeMetni"/>
        <w:tabs>
          <w:tab w:val="left" w:pos="1644"/>
        </w:tabs>
        <w:spacing w:before="170"/>
      </w:pPr>
      <w:r>
        <w:rPr>
          <w:color w:val="231F20"/>
          <w:w w:val="125"/>
          <w:position w:val="-11"/>
          <w:sz w:val="24"/>
        </w:rPr>
        <w:tab/>
      </w:r>
      <w:r>
        <w:rPr>
          <w:color w:val="231F20"/>
          <w:w w:val="125"/>
        </w:rPr>
        <w:t>İcra</w:t>
      </w:r>
      <w:r>
        <w:rPr>
          <w:color w:val="231F20"/>
          <w:spacing w:val="-14"/>
          <w:w w:val="125"/>
        </w:rPr>
        <w:t xml:space="preserve"> </w:t>
      </w:r>
      <w:r>
        <w:rPr>
          <w:color w:val="231F20"/>
          <w:w w:val="125"/>
        </w:rPr>
        <w:t>edilebilirlik</w:t>
      </w:r>
      <w:r>
        <w:rPr>
          <w:color w:val="231F20"/>
          <w:spacing w:val="-14"/>
          <w:w w:val="125"/>
        </w:rPr>
        <w:t xml:space="preserve"> </w:t>
      </w:r>
      <w:r>
        <w:rPr>
          <w:color w:val="231F20"/>
          <w:w w:val="125"/>
        </w:rPr>
        <w:t>şerhi</w:t>
      </w:r>
      <w:r>
        <w:rPr>
          <w:color w:val="231F20"/>
          <w:spacing w:val="-14"/>
          <w:w w:val="125"/>
        </w:rPr>
        <w:t xml:space="preserve"> </w:t>
      </w:r>
      <w:r>
        <w:rPr>
          <w:color w:val="231F20"/>
          <w:w w:val="125"/>
        </w:rPr>
        <w:t>talep</w:t>
      </w:r>
      <w:r>
        <w:rPr>
          <w:color w:val="231F20"/>
          <w:spacing w:val="-14"/>
          <w:w w:val="125"/>
        </w:rPr>
        <w:t xml:space="preserve"> </w:t>
      </w:r>
      <w:r>
        <w:rPr>
          <w:color w:val="231F20"/>
          <w:w w:val="125"/>
        </w:rPr>
        <w:t>yazısı</w:t>
      </w:r>
      <w:r>
        <w:rPr>
          <w:color w:val="231F20"/>
          <w:spacing w:val="-14"/>
          <w:w w:val="125"/>
        </w:rPr>
        <w:t xml:space="preserve"> </w:t>
      </w:r>
      <w:r>
        <w:rPr>
          <w:color w:val="231F20"/>
          <w:w w:val="125"/>
        </w:rPr>
        <w:t>ve</w:t>
      </w:r>
      <w:r>
        <w:rPr>
          <w:color w:val="231F20"/>
          <w:spacing w:val="-14"/>
          <w:w w:val="125"/>
        </w:rPr>
        <w:t xml:space="preserve"> </w:t>
      </w:r>
      <w:r>
        <w:rPr>
          <w:color w:val="231F20"/>
          <w:w w:val="125"/>
        </w:rPr>
        <w:t>ekleri</w:t>
      </w:r>
      <w:r>
        <w:rPr>
          <w:color w:val="231F20"/>
          <w:spacing w:val="-14"/>
          <w:w w:val="125"/>
        </w:rPr>
        <w:t xml:space="preserve"> </w:t>
      </w:r>
      <w:r>
        <w:rPr>
          <w:color w:val="231F20"/>
          <w:w w:val="125"/>
        </w:rPr>
        <w:t>incelendi;</w:t>
      </w:r>
    </w:p>
    <w:p w:rsidR="000B569C" w:rsidRDefault="000B569C" w:rsidP="003C0067">
      <w:pPr>
        <w:spacing w:line="20" w:lineRule="exact"/>
        <w:ind w:left="-341"/>
        <w:rPr>
          <w:sz w:val="2"/>
        </w:rPr>
      </w:pPr>
      <w:r>
        <w:rPr>
          <w:rFonts w:ascii="Times New Roman"/>
          <w:spacing w:val="5"/>
          <w:sz w:val="2"/>
        </w:rPr>
        <w:t xml:space="preserve"> </w:t>
      </w:r>
    </w:p>
    <w:p w:rsidR="000B569C" w:rsidRDefault="000B569C" w:rsidP="003C0067">
      <w:pPr>
        <w:pStyle w:val="GvdeMetni"/>
        <w:spacing w:line="292" w:lineRule="auto"/>
        <w:ind w:left="1644" w:right="1131"/>
        <w:jc w:val="both"/>
      </w:pPr>
      <w:r>
        <w:rPr>
          <w:color w:val="231F20"/>
          <w:w w:val="120"/>
        </w:rPr>
        <w:t>1-Talebe konu arabuluculuk anlaşma tutanağı taraflarının yetkili kişilerce temsil edildiği, Avukatın yetkili vekil olduğu, görüşmeleri yürüten ve arabu- luculuk anlaşma tutanağını tanzim eden arabulucunun Arabuluculuk Daire Başkanlığı nezdinde tutulan arabulucular siciline kayıtlı resmi arabulucu olduğu, mahkememizin işbu olay ile ilgili olarak görevli ve yetkili olduğu, maktu harcın yatırılmış olduğu, şerh verilmesi istenen ve çözüme ulaşan uyuşmazlık konusunun arabuluculuğa başvurulabilecek ve bu yolla çözüm- lenebilecek uyuşmazlık olduğu varılan çözüm</w:t>
      </w:r>
      <w:r w:rsidR="00454A24">
        <w:rPr>
          <w:color w:val="231F20"/>
          <w:w w:val="120"/>
        </w:rPr>
        <w:t>ün icra edilebilir olduğu anla</w:t>
      </w:r>
      <w:r>
        <w:rPr>
          <w:color w:val="231F20"/>
          <w:w w:val="120"/>
        </w:rPr>
        <w:t>şıldı.</w:t>
      </w:r>
    </w:p>
    <w:p w:rsidR="000B569C" w:rsidRDefault="000B569C" w:rsidP="003C0067">
      <w:pPr>
        <w:pStyle w:val="GvdeMetni"/>
        <w:spacing w:before="170" w:line="292" w:lineRule="auto"/>
        <w:ind w:left="1644" w:right="1131"/>
        <w:jc w:val="both"/>
      </w:pPr>
      <w:r>
        <w:rPr>
          <w:color w:val="231F20"/>
          <w:w w:val="125"/>
        </w:rPr>
        <w:t>(Protokolün belli hükümleri için icra edilebilirlik talebi durumunda bu hü- kümlerin icra edilebilir olduğu yazılacaktır).</w:t>
      </w:r>
    </w:p>
    <w:p w:rsidR="00454A24" w:rsidRDefault="000B569C" w:rsidP="003C0067">
      <w:pPr>
        <w:pStyle w:val="GvdeMetni"/>
        <w:spacing w:before="170" w:line="292" w:lineRule="auto"/>
        <w:ind w:left="1644" w:right="1131"/>
        <w:jc w:val="both"/>
        <w:rPr>
          <w:b/>
          <w:color w:val="231F20"/>
          <w:w w:val="125"/>
        </w:rPr>
      </w:pPr>
      <w:r>
        <w:rPr>
          <w:color w:val="231F20"/>
          <w:w w:val="125"/>
        </w:rPr>
        <w:t>Dosya</w:t>
      </w:r>
      <w:r>
        <w:rPr>
          <w:color w:val="231F20"/>
          <w:spacing w:val="-26"/>
          <w:w w:val="125"/>
        </w:rPr>
        <w:t xml:space="preserve"> </w:t>
      </w:r>
      <w:r>
        <w:rPr>
          <w:color w:val="231F20"/>
          <w:w w:val="125"/>
        </w:rPr>
        <w:t>kapsamı</w:t>
      </w:r>
      <w:r>
        <w:rPr>
          <w:color w:val="231F20"/>
          <w:spacing w:val="-26"/>
          <w:w w:val="125"/>
        </w:rPr>
        <w:t xml:space="preserve"> </w:t>
      </w:r>
      <w:r>
        <w:rPr>
          <w:color w:val="231F20"/>
          <w:w w:val="125"/>
        </w:rPr>
        <w:t>tümüyle</w:t>
      </w:r>
      <w:r>
        <w:rPr>
          <w:color w:val="231F20"/>
          <w:spacing w:val="-26"/>
          <w:w w:val="125"/>
        </w:rPr>
        <w:t xml:space="preserve"> </w:t>
      </w:r>
      <w:r>
        <w:rPr>
          <w:color w:val="231F20"/>
          <w:w w:val="125"/>
        </w:rPr>
        <w:t>incelenerek</w:t>
      </w:r>
      <w:r>
        <w:rPr>
          <w:color w:val="231F20"/>
          <w:spacing w:val="-26"/>
          <w:w w:val="125"/>
        </w:rPr>
        <w:t xml:space="preserve"> </w:t>
      </w:r>
      <w:r>
        <w:rPr>
          <w:color w:val="231F20"/>
          <w:w w:val="125"/>
        </w:rPr>
        <w:t>Talebin</w:t>
      </w:r>
      <w:r>
        <w:rPr>
          <w:color w:val="231F20"/>
          <w:spacing w:val="-26"/>
          <w:w w:val="125"/>
        </w:rPr>
        <w:t xml:space="preserve"> </w:t>
      </w:r>
      <w:r>
        <w:rPr>
          <w:color w:val="231F20"/>
          <w:w w:val="125"/>
        </w:rPr>
        <w:t>Kabulüne,</w:t>
      </w:r>
      <w:r>
        <w:rPr>
          <w:color w:val="231F20"/>
          <w:spacing w:val="5"/>
          <w:w w:val="125"/>
        </w:rPr>
        <w:t xml:space="preserve"> </w:t>
      </w:r>
      <w:r>
        <w:rPr>
          <w:color w:val="231F20"/>
          <w:w w:val="125"/>
        </w:rPr>
        <w:t>.....</w:t>
      </w:r>
      <w:r>
        <w:rPr>
          <w:color w:val="231F20"/>
          <w:spacing w:val="-7"/>
          <w:w w:val="125"/>
        </w:rPr>
        <w:t xml:space="preserve"> </w:t>
      </w:r>
      <w:r>
        <w:rPr>
          <w:color w:val="231F20"/>
          <w:w w:val="130"/>
        </w:rPr>
        <w:t>/</w:t>
      </w:r>
      <w:r>
        <w:rPr>
          <w:color w:val="231F20"/>
          <w:spacing w:val="-9"/>
          <w:w w:val="130"/>
        </w:rPr>
        <w:t xml:space="preserve"> </w:t>
      </w:r>
      <w:r>
        <w:rPr>
          <w:color w:val="231F20"/>
          <w:w w:val="125"/>
        </w:rPr>
        <w:t>.....</w:t>
      </w:r>
      <w:r>
        <w:rPr>
          <w:color w:val="231F20"/>
          <w:spacing w:val="-7"/>
          <w:w w:val="125"/>
        </w:rPr>
        <w:t xml:space="preserve"> </w:t>
      </w:r>
      <w:r>
        <w:rPr>
          <w:color w:val="231F20"/>
          <w:w w:val="130"/>
        </w:rPr>
        <w:t>/</w:t>
      </w:r>
      <w:r>
        <w:rPr>
          <w:color w:val="231F20"/>
          <w:spacing w:val="-9"/>
          <w:w w:val="130"/>
        </w:rPr>
        <w:t xml:space="preserve"> </w:t>
      </w:r>
      <w:r>
        <w:rPr>
          <w:color w:val="231F20"/>
          <w:w w:val="125"/>
        </w:rPr>
        <w:t>.....</w:t>
      </w:r>
      <w:r>
        <w:rPr>
          <w:color w:val="231F20"/>
          <w:spacing w:val="-7"/>
          <w:w w:val="125"/>
        </w:rPr>
        <w:t xml:space="preserve"> </w:t>
      </w:r>
      <w:r w:rsidR="00DF4E40">
        <w:rPr>
          <w:color w:val="231F20"/>
          <w:w w:val="125"/>
        </w:rPr>
        <w:t>ta</w:t>
      </w:r>
      <w:r>
        <w:rPr>
          <w:color w:val="231F20"/>
          <w:w w:val="125"/>
        </w:rPr>
        <w:t>rihli</w:t>
      </w:r>
      <w:r>
        <w:rPr>
          <w:color w:val="231F20"/>
          <w:spacing w:val="-28"/>
          <w:w w:val="125"/>
        </w:rPr>
        <w:t xml:space="preserve"> </w:t>
      </w:r>
      <w:r>
        <w:rPr>
          <w:color w:val="231F20"/>
          <w:w w:val="125"/>
        </w:rPr>
        <w:t>Arabuluculuk</w:t>
      </w:r>
      <w:r>
        <w:rPr>
          <w:color w:val="231F20"/>
          <w:spacing w:val="-28"/>
          <w:w w:val="125"/>
        </w:rPr>
        <w:t xml:space="preserve"> </w:t>
      </w:r>
      <w:r>
        <w:rPr>
          <w:color w:val="231F20"/>
          <w:w w:val="125"/>
        </w:rPr>
        <w:t>anlaşmasının</w:t>
      </w:r>
      <w:r>
        <w:rPr>
          <w:color w:val="231F20"/>
          <w:spacing w:val="-28"/>
          <w:w w:val="125"/>
        </w:rPr>
        <w:t xml:space="preserve"> </w:t>
      </w:r>
      <w:r>
        <w:rPr>
          <w:color w:val="231F20"/>
          <w:w w:val="125"/>
        </w:rPr>
        <w:t>6325</w:t>
      </w:r>
      <w:r>
        <w:rPr>
          <w:color w:val="231F20"/>
          <w:spacing w:val="-28"/>
          <w:w w:val="125"/>
        </w:rPr>
        <w:t xml:space="preserve"> </w:t>
      </w:r>
      <w:r>
        <w:rPr>
          <w:color w:val="231F20"/>
          <w:w w:val="125"/>
        </w:rPr>
        <w:t>sayılı</w:t>
      </w:r>
      <w:r>
        <w:rPr>
          <w:color w:val="231F20"/>
          <w:spacing w:val="-28"/>
          <w:w w:val="125"/>
        </w:rPr>
        <w:t xml:space="preserve"> </w:t>
      </w:r>
      <w:r>
        <w:rPr>
          <w:color w:val="231F20"/>
          <w:w w:val="125"/>
        </w:rPr>
        <w:t>Hukuk</w:t>
      </w:r>
      <w:r>
        <w:rPr>
          <w:color w:val="231F20"/>
          <w:spacing w:val="-28"/>
          <w:w w:val="125"/>
        </w:rPr>
        <w:t xml:space="preserve"> </w:t>
      </w:r>
      <w:r>
        <w:rPr>
          <w:color w:val="231F20"/>
          <w:w w:val="125"/>
        </w:rPr>
        <w:t>Uyuşmazlıklarında</w:t>
      </w:r>
      <w:r>
        <w:rPr>
          <w:color w:val="231F20"/>
          <w:spacing w:val="-28"/>
          <w:w w:val="125"/>
        </w:rPr>
        <w:t xml:space="preserve"> </w:t>
      </w:r>
      <w:r w:rsidR="00DF4E40">
        <w:rPr>
          <w:color w:val="231F20"/>
          <w:w w:val="125"/>
        </w:rPr>
        <w:t>Ara</w:t>
      </w:r>
      <w:r>
        <w:rPr>
          <w:color w:val="231F20"/>
          <w:w w:val="125"/>
        </w:rPr>
        <w:t>buluculuk</w:t>
      </w:r>
      <w:r>
        <w:rPr>
          <w:color w:val="231F20"/>
          <w:spacing w:val="-39"/>
          <w:w w:val="125"/>
        </w:rPr>
        <w:t xml:space="preserve"> </w:t>
      </w:r>
      <w:r>
        <w:rPr>
          <w:color w:val="231F20"/>
          <w:w w:val="125"/>
        </w:rPr>
        <w:t>Kanunun</w:t>
      </w:r>
      <w:r>
        <w:rPr>
          <w:color w:val="231F20"/>
          <w:spacing w:val="-39"/>
          <w:w w:val="125"/>
        </w:rPr>
        <w:t xml:space="preserve"> </w:t>
      </w:r>
      <w:r>
        <w:rPr>
          <w:color w:val="231F20"/>
          <w:w w:val="125"/>
        </w:rPr>
        <w:t>18.</w:t>
      </w:r>
      <w:r>
        <w:rPr>
          <w:color w:val="231F20"/>
          <w:spacing w:val="-39"/>
          <w:w w:val="125"/>
        </w:rPr>
        <w:t xml:space="preserve"> </w:t>
      </w:r>
      <w:r>
        <w:rPr>
          <w:color w:val="231F20"/>
          <w:w w:val="125"/>
        </w:rPr>
        <w:t>Maddesinin</w:t>
      </w:r>
      <w:r>
        <w:rPr>
          <w:color w:val="231F20"/>
          <w:spacing w:val="-39"/>
          <w:w w:val="125"/>
        </w:rPr>
        <w:t xml:space="preserve"> </w:t>
      </w:r>
      <w:r>
        <w:rPr>
          <w:color w:val="231F20"/>
          <w:w w:val="125"/>
        </w:rPr>
        <w:t>3.</w:t>
      </w:r>
      <w:r>
        <w:rPr>
          <w:color w:val="231F20"/>
          <w:spacing w:val="-39"/>
          <w:w w:val="125"/>
        </w:rPr>
        <w:t xml:space="preserve"> </w:t>
      </w:r>
      <w:r>
        <w:rPr>
          <w:color w:val="231F20"/>
          <w:w w:val="125"/>
        </w:rPr>
        <w:t>Fıkrasında</w:t>
      </w:r>
      <w:r>
        <w:rPr>
          <w:color w:val="231F20"/>
          <w:spacing w:val="-39"/>
          <w:w w:val="125"/>
        </w:rPr>
        <w:t xml:space="preserve"> </w:t>
      </w:r>
      <w:r>
        <w:rPr>
          <w:color w:val="231F20"/>
          <w:w w:val="125"/>
        </w:rPr>
        <w:t>belirtildiği</w:t>
      </w:r>
      <w:r>
        <w:rPr>
          <w:color w:val="231F20"/>
          <w:spacing w:val="-39"/>
          <w:w w:val="125"/>
        </w:rPr>
        <w:t xml:space="preserve"> </w:t>
      </w:r>
      <w:r>
        <w:rPr>
          <w:color w:val="231F20"/>
          <w:w w:val="125"/>
        </w:rPr>
        <w:t>üzere</w:t>
      </w:r>
      <w:r>
        <w:rPr>
          <w:color w:val="231F20"/>
          <w:spacing w:val="-39"/>
          <w:w w:val="125"/>
        </w:rPr>
        <w:t xml:space="preserve"> </w:t>
      </w:r>
      <w:r w:rsidR="003D2AC6">
        <w:rPr>
          <w:color w:val="231F20"/>
          <w:w w:val="125"/>
        </w:rPr>
        <w:t>anlaşma</w:t>
      </w:r>
      <w:r>
        <w:rPr>
          <w:color w:val="231F20"/>
          <w:w w:val="125"/>
        </w:rPr>
        <w:t>nın</w:t>
      </w:r>
      <w:r>
        <w:rPr>
          <w:color w:val="231F20"/>
          <w:spacing w:val="-44"/>
          <w:w w:val="125"/>
        </w:rPr>
        <w:t xml:space="preserve"> </w:t>
      </w:r>
      <w:r>
        <w:rPr>
          <w:color w:val="231F20"/>
          <w:w w:val="125"/>
        </w:rPr>
        <w:t>içeriğinin</w:t>
      </w:r>
      <w:r>
        <w:rPr>
          <w:color w:val="231F20"/>
          <w:spacing w:val="-44"/>
          <w:w w:val="125"/>
        </w:rPr>
        <w:t xml:space="preserve"> </w:t>
      </w:r>
      <w:r>
        <w:rPr>
          <w:color w:val="231F20"/>
          <w:w w:val="125"/>
        </w:rPr>
        <w:t>Arabuluculuğa</w:t>
      </w:r>
      <w:r>
        <w:rPr>
          <w:color w:val="231F20"/>
          <w:spacing w:val="-44"/>
          <w:w w:val="125"/>
        </w:rPr>
        <w:t xml:space="preserve"> </w:t>
      </w:r>
      <w:r>
        <w:rPr>
          <w:color w:val="231F20"/>
          <w:w w:val="125"/>
        </w:rPr>
        <w:t>ve</w:t>
      </w:r>
      <w:r>
        <w:rPr>
          <w:color w:val="231F20"/>
          <w:spacing w:val="-44"/>
          <w:w w:val="125"/>
        </w:rPr>
        <w:t xml:space="preserve"> </w:t>
      </w:r>
      <w:r>
        <w:rPr>
          <w:color w:val="231F20"/>
          <w:w w:val="125"/>
        </w:rPr>
        <w:t>Cebri</w:t>
      </w:r>
      <w:r>
        <w:rPr>
          <w:color w:val="231F20"/>
          <w:spacing w:val="-44"/>
          <w:w w:val="125"/>
        </w:rPr>
        <w:t xml:space="preserve"> </w:t>
      </w:r>
      <w:r>
        <w:rPr>
          <w:color w:val="231F20"/>
          <w:w w:val="125"/>
        </w:rPr>
        <w:t>İcraya</w:t>
      </w:r>
      <w:r>
        <w:rPr>
          <w:color w:val="231F20"/>
          <w:spacing w:val="-44"/>
          <w:w w:val="125"/>
        </w:rPr>
        <w:t xml:space="preserve"> </w:t>
      </w:r>
      <w:r>
        <w:rPr>
          <w:color w:val="231F20"/>
          <w:w w:val="125"/>
        </w:rPr>
        <w:t>elverişli</w:t>
      </w:r>
      <w:r>
        <w:rPr>
          <w:color w:val="231F20"/>
          <w:spacing w:val="-44"/>
          <w:w w:val="125"/>
        </w:rPr>
        <w:t xml:space="preserve"> </w:t>
      </w:r>
      <w:r>
        <w:rPr>
          <w:color w:val="231F20"/>
          <w:w w:val="125"/>
        </w:rPr>
        <w:t>olduğu</w:t>
      </w:r>
      <w:r>
        <w:rPr>
          <w:color w:val="231F20"/>
          <w:spacing w:val="-44"/>
          <w:w w:val="125"/>
        </w:rPr>
        <w:t xml:space="preserve"> </w:t>
      </w:r>
      <w:r>
        <w:rPr>
          <w:color w:val="231F20"/>
          <w:w w:val="125"/>
        </w:rPr>
        <w:t>anlaşıldığından, anlaşma</w:t>
      </w:r>
      <w:r>
        <w:rPr>
          <w:color w:val="231F20"/>
          <w:spacing w:val="-18"/>
          <w:w w:val="125"/>
        </w:rPr>
        <w:t xml:space="preserve"> </w:t>
      </w:r>
      <w:r>
        <w:rPr>
          <w:color w:val="231F20"/>
          <w:w w:val="125"/>
        </w:rPr>
        <w:t>belgesine</w:t>
      </w:r>
      <w:r>
        <w:rPr>
          <w:color w:val="231F20"/>
          <w:spacing w:val="-18"/>
          <w:w w:val="125"/>
        </w:rPr>
        <w:t xml:space="preserve"> </w:t>
      </w:r>
      <w:r>
        <w:rPr>
          <w:color w:val="231F20"/>
          <w:w w:val="125"/>
        </w:rPr>
        <w:t>İcra</w:t>
      </w:r>
      <w:r>
        <w:rPr>
          <w:color w:val="231F20"/>
          <w:spacing w:val="-18"/>
          <w:w w:val="125"/>
        </w:rPr>
        <w:t xml:space="preserve"> </w:t>
      </w:r>
      <w:r>
        <w:rPr>
          <w:color w:val="231F20"/>
          <w:w w:val="125"/>
        </w:rPr>
        <w:t>Edilebilirlik</w:t>
      </w:r>
      <w:r>
        <w:rPr>
          <w:color w:val="231F20"/>
          <w:spacing w:val="-18"/>
          <w:w w:val="125"/>
        </w:rPr>
        <w:t xml:space="preserve"> </w:t>
      </w:r>
      <w:r>
        <w:rPr>
          <w:color w:val="231F20"/>
          <w:w w:val="125"/>
        </w:rPr>
        <w:t>Şerhinin</w:t>
      </w:r>
      <w:r>
        <w:rPr>
          <w:color w:val="231F20"/>
          <w:spacing w:val="-18"/>
          <w:w w:val="125"/>
        </w:rPr>
        <w:t xml:space="preserve"> </w:t>
      </w:r>
      <w:r>
        <w:rPr>
          <w:b/>
          <w:color w:val="231F20"/>
          <w:w w:val="125"/>
        </w:rPr>
        <w:t>VERİLMESİNE,</w:t>
      </w:r>
    </w:p>
    <w:p w:rsidR="00454A24" w:rsidRDefault="000B569C" w:rsidP="003C0067">
      <w:pPr>
        <w:pStyle w:val="GvdeMetni"/>
        <w:spacing w:before="170" w:line="292" w:lineRule="auto"/>
        <w:ind w:left="1644" w:right="1131"/>
        <w:jc w:val="both"/>
        <w:rPr>
          <w:color w:val="231F20"/>
          <w:w w:val="120"/>
        </w:rPr>
      </w:pPr>
      <w:r>
        <w:rPr>
          <w:color w:val="231F20"/>
          <w:w w:val="120"/>
        </w:rPr>
        <w:t>Dair, aşağıdaki hükmün kurulması usul ve yasaya uygun bulunmuştur.</w:t>
      </w:r>
    </w:p>
    <w:p w:rsidR="00454A24" w:rsidRPr="00454A24" w:rsidRDefault="000B569C" w:rsidP="003C0067">
      <w:pPr>
        <w:pStyle w:val="GvdeMetni"/>
        <w:tabs>
          <w:tab w:val="left" w:pos="4259"/>
        </w:tabs>
        <w:spacing w:before="170" w:line="292" w:lineRule="auto"/>
        <w:ind w:left="1644" w:right="1131"/>
        <w:jc w:val="both"/>
        <w:rPr>
          <w:b/>
          <w:color w:val="231F20"/>
          <w:w w:val="105"/>
        </w:rPr>
      </w:pPr>
      <w:r w:rsidRPr="00454A24">
        <w:rPr>
          <w:b/>
          <w:color w:val="231F20"/>
          <w:w w:val="105"/>
        </w:rPr>
        <w:t>HÜKÜM;</w:t>
      </w:r>
      <w:r w:rsidR="003C0067">
        <w:rPr>
          <w:b/>
          <w:color w:val="231F20"/>
          <w:w w:val="105"/>
        </w:rPr>
        <w:tab/>
      </w:r>
    </w:p>
    <w:p w:rsidR="00454A24" w:rsidRDefault="00454A24" w:rsidP="003C0067">
      <w:pPr>
        <w:pStyle w:val="GvdeMetni"/>
        <w:spacing w:before="170" w:line="292" w:lineRule="auto"/>
        <w:ind w:left="1644" w:right="1131"/>
        <w:jc w:val="both"/>
        <w:rPr>
          <w:color w:val="231F20"/>
          <w:w w:val="120"/>
        </w:rPr>
      </w:pPr>
      <w:r>
        <w:rPr>
          <w:color w:val="231F20"/>
          <w:w w:val="105"/>
        </w:rPr>
        <w:t>1-</w:t>
      </w:r>
      <w:r w:rsidR="000B569C" w:rsidRPr="00454A24">
        <w:rPr>
          <w:color w:val="231F20"/>
          <w:w w:val="120"/>
        </w:rPr>
        <w:t>Talebin Kabulüne,...............tarihli Arabuluculuk  anlaşmasının  6325 sayılı Hukuk Uyuşmazlıklarında Arabuluculuk Kanunun 18.maddesinin 3.fıkra- sında belirtildiği üzere; Arabuluculuğa ve Ce</w:t>
      </w:r>
      <w:r w:rsidR="00DF4E40">
        <w:rPr>
          <w:color w:val="231F20"/>
          <w:w w:val="120"/>
        </w:rPr>
        <w:t>bri İcraya elverişli olduğu an</w:t>
      </w:r>
      <w:bookmarkStart w:id="0" w:name="_GoBack"/>
      <w:bookmarkEnd w:id="0"/>
      <w:r w:rsidR="000B569C" w:rsidRPr="00454A24">
        <w:rPr>
          <w:color w:val="231F20"/>
          <w:w w:val="120"/>
        </w:rPr>
        <w:t>laşıldığından, arabuluculuk anlaşma tutanağına  İcra Edilebilirlik Şerhinin</w:t>
      </w:r>
      <w:r w:rsidR="000B569C" w:rsidRPr="00454A24">
        <w:rPr>
          <w:color w:val="231F20"/>
          <w:spacing w:val="-28"/>
          <w:w w:val="120"/>
        </w:rPr>
        <w:t xml:space="preserve"> </w:t>
      </w:r>
      <w:r w:rsidR="000B569C" w:rsidRPr="00454A24">
        <w:rPr>
          <w:color w:val="231F20"/>
          <w:w w:val="120"/>
        </w:rPr>
        <w:t>VERİLMESİNE,</w:t>
      </w:r>
    </w:p>
    <w:p w:rsidR="003C0067" w:rsidRDefault="00454A24" w:rsidP="003C0067">
      <w:pPr>
        <w:pStyle w:val="GvdeMetni"/>
        <w:spacing w:before="170" w:line="292" w:lineRule="auto"/>
        <w:ind w:left="1644" w:right="1131"/>
        <w:jc w:val="both"/>
        <w:rPr>
          <w:b/>
          <w:color w:val="231F20"/>
          <w:w w:val="120"/>
        </w:rPr>
      </w:pPr>
      <w:r>
        <w:rPr>
          <w:color w:val="231F20"/>
          <w:w w:val="120"/>
        </w:rPr>
        <w:t>2-</w:t>
      </w:r>
      <w:r w:rsidR="000B569C">
        <w:rPr>
          <w:color w:val="231F20"/>
          <w:w w:val="120"/>
        </w:rPr>
        <w:t>Harç</w:t>
      </w:r>
      <w:r w:rsidR="000B569C">
        <w:rPr>
          <w:color w:val="231F20"/>
          <w:spacing w:val="-11"/>
          <w:w w:val="120"/>
        </w:rPr>
        <w:t xml:space="preserve"> </w:t>
      </w:r>
      <w:r w:rsidR="000B569C">
        <w:rPr>
          <w:color w:val="231F20"/>
          <w:w w:val="120"/>
        </w:rPr>
        <w:t>alındığından</w:t>
      </w:r>
      <w:r w:rsidR="000B569C">
        <w:rPr>
          <w:color w:val="231F20"/>
          <w:spacing w:val="-11"/>
          <w:w w:val="120"/>
        </w:rPr>
        <w:t xml:space="preserve"> </w:t>
      </w:r>
      <w:r w:rsidR="000B569C">
        <w:rPr>
          <w:color w:val="231F20"/>
          <w:w w:val="120"/>
        </w:rPr>
        <w:t>yeniden</w:t>
      </w:r>
      <w:r w:rsidR="000B569C">
        <w:rPr>
          <w:color w:val="231F20"/>
          <w:spacing w:val="-11"/>
          <w:w w:val="120"/>
        </w:rPr>
        <w:t xml:space="preserve"> </w:t>
      </w:r>
      <w:r w:rsidR="000B569C">
        <w:rPr>
          <w:color w:val="231F20"/>
          <w:w w:val="120"/>
        </w:rPr>
        <w:t>alınmasına</w:t>
      </w:r>
      <w:r w:rsidR="000B569C">
        <w:rPr>
          <w:color w:val="231F20"/>
          <w:spacing w:val="-11"/>
          <w:w w:val="120"/>
        </w:rPr>
        <w:t xml:space="preserve"> </w:t>
      </w:r>
      <w:r w:rsidR="000B569C">
        <w:rPr>
          <w:b/>
          <w:color w:val="231F20"/>
          <w:w w:val="120"/>
        </w:rPr>
        <w:t>YER</w:t>
      </w:r>
      <w:r w:rsidR="000B569C">
        <w:rPr>
          <w:b/>
          <w:color w:val="231F20"/>
          <w:spacing w:val="-8"/>
          <w:w w:val="120"/>
        </w:rPr>
        <w:t xml:space="preserve"> </w:t>
      </w:r>
      <w:r w:rsidR="000B569C">
        <w:rPr>
          <w:b/>
          <w:color w:val="231F20"/>
          <w:w w:val="120"/>
        </w:rPr>
        <w:t>OLMADIĞINA,</w:t>
      </w:r>
    </w:p>
    <w:p w:rsidR="003C0067" w:rsidRPr="003C0067" w:rsidRDefault="003C0067" w:rsidP="003C0067">
      <w:pPr>
        <w:pStyle w:val="GvdeMetni"/>
        <w:spacing w:before="170" w:line="292" w:lineRule="auto"/>
        <w:ind w:left="1644" w:right="1131"/>
        <w:jc w:val="both"/>
        <w:rPr>
          <w:b/>
          <w:color w:val="231F20"/>
          <w:w w:val="120"/>
        </w:rPr>
      </w:pPr>
      <w:r w:rsidRPr="003C0067">
        <w:rPr>
          <w:b/>
          <w:color w:val="231F20"/>
          <w:w w:val="120"/>
        </w:rPr>
        <w:t>3-</w:t>
      </w:r>
      <w:r w:rsidRPr="003C0067">
        <w:t xml:space="preserve">Yargılama gideri olmadığından bu konuda karar verilmesine </w:t>
      </w:r>
      <w:r w:rsidRPr="003C0067">
        <w:rPr>
          <w:b/>
        </w:rPr>
        <w:t>YER</w:t>
      </w:r>
      <w:r w:rsidRPr="003C0067">
        <w:rPr>
          <w:b/>
          <w:spacing w:val="-9"/>
        </w:rPr>
        <w:t xml:space="preserve"> </w:t>
      </w:r>
      <w:r w:rsidRPr="003C0067">
        <w:rPr>
          <w:b/>
        </w:rPr>
        <w:t>OLMADIĞINA</w:t>
      </w:r>
      <w:r w:rsidRPr="003C0067">
        <w:t>,</w:t>
      </w:r>
      <w:r>
        <w:rPr>
          <w:b/>
          <w:color w:val="231F20"/>
          <w:w w:val="120"/>
        </w:rPr>
        <w:t xml:space="preserve"> </w:t>
      </w:r>
      <w:r>
        <w:t>dair dosya üzerinden verilen karar tarafların yokluğunda, gerekçeli kararın taraflara tebliğinden itibaren 2 hafta içinde Bölge Adliye Mahkemesine istinaf yolu açık olmak üzere verilen karar açıkça okunup usulen anlatıldı. ../../.2018</w:t>
      </w:r>
    </w:p>
    <w:p w:rsidR="00454A24" w:rsidRDefault="00454A24" w:rsidP="003C0067">
      <w:pPr>
        <w:pStyle w:val="GvdeMetni"/>
        <w:spacing w:before="170" w:line="292" w:lineRule="auto"/>
        <w:ind w:left="1644" w:right="1131"/>
        <w:jc w:val="both"/>
        <w:rPr>
          <w:color w:val="231F20"/>
          <w:w w:val="120"/>
        </w:rPr>
      </w:pPr>
    </w:p>
    <w:p w:rsidR="000B569C" w:rsidRDefault="000B569C" w:rsidP="00454A24">
      <w:pPr>
        <w:pStyle w:val="GvdeMetni"/>
        <w:spacing w:before="170" w:line="292" w:lineRule="auto"/>
        <w:ind w:left="1644" w:right="1131"/>
        <w:jc w:val="both"/>
      </w:pPr>
      <w:r>
        <w:rPr>
          <w:color w:val="231F20"/>
          <w:w w:val="120"/>
        </w:rPr>
        <w:t>Kâtip</w:t>
      </w:r>
      <w:r w:rsidR="00454A24">
        <w:rPr>
          <w:color w:val="231F20"/>
          <w:w w:val="120"/>
        </w:rPr>
        <w:tab/>
      </w:r>
      <w:r w:rsidR="00454A24">
        <w:rPr>
          <w:color w:val="231F20"/>
          <w:w w:val="120"/>
        </w:rPr>
        <w:tab/>
      </w:r>
      <w:r w:rsidR="00454A24">
        <w:rPr>
          <w:color w:val="231F20"/>
          <w:w w:val="120"/>
        </w:rPr>
        <w:tab/>
      </w:r>
      <w:r w:rsidR="00454A24">
        <w:rPr>
          <w:color w:val="231F20"/>
          <w:w w:val="120"/>
        </w:rPr>
        <w:tab/>
      </w:r>
      <w:r w:rsidR="00454A24">
        <w:rPr>
          <w:color w:val="231F20"/>
          <w:w w:val="120"/>
        </w:rPr>
        <w:tab/>
      </w:r>
      <w:r w:rsidR="00454A24">
        <w:rPr>
          <w:color w:val="231F20"/>
          <w:w w:val="120"/>
        </w:rPr>
        <w:tab/>
      </w:r>
      <w:r w:rsidR="00454A24">
        <w:rPr>
          <w:color w:val="231F20"/>
          <w:w w:val="120"/>
        </w:rPr>
        <w:tab/>
      </w:r>
      <w:r>
        <w:rPr>
          <w:color w:val="231F20"/>
          <w:w w:val="120"/>
        </w:rPr>
        <w:tab/>
        <w:t>Hâkim</w:t>
      </w:r>
    </w:p>
    <w:sectPr w:rsidR="000B569C" w:rsidSect="003C0067">
      <w:pgSz w:w="11906" w:h="16838"/>
      <w:pgMar w:top="567" w:right="1417"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5E2" w:rsidRDefault="00FB55E2" w:rsidP="000B569C">
      <w:r>
        <w:separator/>
      </w:r>
    </w:p>
  </w:endnote>
  <w:endnote w:type="continuationSeparator" w:id="1">
    <w:p w:rsidR="00FB55E2" w:rsidRDefault="00FB55E2" w:rsidP="000B569C">
      <w:r>
        <w:continuationSeparator/>
      </w:r>
    </w:p>
  </w:endnote>
</w:endnotes>
</file>

<file path=word/fontTable.xml><?xml version="1.0" encoding="utf-8"?>
<w:fonts xmlns:r="http://schemas.openxmlformats.org/officeDocument/2006/relationships" xmlns:w="http://schemas.openxmlformats.org/wordprocessingml/2006/main">
  <w:font w:name="Arial Narrow">
    <w:altName w:val="Arial Narrow"/>
    <w:panose1 w:val="020B0606020202030204"/>
    <w:charset w:val="A2"/>
    <w:family w:val="swiss"/>
    <w:pitch w:val="variable"/>
    <w:sig w:usb0="00000287" w:usb1="00000800" w:usb2="00000000" w:usb3="00000000" w:csb0="0000009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rebuchet MS">
    <w:altName w:val="Trebuchet MS"/>
    <w:panose1 w:val="020B0603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5E2" w:rsidRDefault="00FB55E2" w:rsidP="000B569C">
      <w:r>
        <w:separator/>
      </w:r>
    </w:p>
  </w:footnote>
  <w:footnote w:type="continuationSeparator" w:id="1">
    <w:p w:rsidR="00FB55E2" w:rsidRDefault="00FB55E2" w:rsidP="000B56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534AC"/>
    <w:multiLevelType w:val="hybridMultilevel"/>
    <w:tmpl w:val="E836EBF4"/>
    <w:lvl w:ilvl="0" w:tplc="710EB312">
      <w:start w:val="1"/>
      <w:numFmt w:val="decimal"/>
      <w:lvlText w:val="%1-"/>
      <w:lvlJc w:val="left"/>
      <w:pPr>
        <w:ind w:left="793" w:hanging="171"/>
      </w:pPr>
      <w:rPr>
        <w:rFonts w:ascii="Arial Narrow" w:eastAsia="Arial Narrow" w:hAnsi="Arial Narrow" w:cs="Arial Narrow" w:hint="default"/>
        <w:color w:val="231F20"/>
        <w:spacing w:val="-8"/>
        <w:w w:val="116"/>
        <w:sz w:val="18"/>
        <w:szCs w:val="18"/>
        <w:lang w:val="en-GB" w:eastAsia="en-GB" w:bidi="en-GB"/>
      </w:rPr>
    </w:lvl>
    <w:lvl w:ilvl="1" w:tplc="546C4D34">
      <w:numFmt w:val="bullet"/>
      <w:lvlText w:val="•"/>
      <w:lvlJc w:val="left"/>
      <w:pPr>
        <w:ind w:left="1927" w:hanging="284"/>
      </w:pPr>
      <w:rPr>
        <w:rFonts w:ascii="Arial Narrow" w:eastAsia="Arial Narrow" w:hAnsi="Arial Narrow" w:cs="Arial Narrow" w:hint="default"/>
        <w:color w:val="231F20"/>
        <w:w w:val="125"/>
        <w:sz w:val="20"/>
        <w:szCs w:val="20"/>
        <w:lang w:val="en-GB" w:eastAsia="en-GB" w:bidi="en-GB"/>
      </w:rPr>
    </w:lvl>
    <w:lvl w:ilvl="2" w:tplc="18CE1B4E">
      <w:numFmt w:val="bullet"/>
      <w:lvlText w:val="•"/>
      <w:lvlJc w:val="left"/>
      <w:pPr>
        <w:ind w:left="2739" w:hanging="284"/>
      </w:pPr>
      <w:rPr>
        <w:rFonts w:hint="default"/>
        <w:lang w:val="en-GB" w:eastAsia="en-GB" w:bidi="en-GB"/>
      </w:rPr>
    </w:lvl>
    <w:lvl w:ilvl="3" w:tplc="E7401ACC">
      <w:numFmt w:val="bullet"/>
      <w:lvlText w:val="•"/>
      <w:lvlJc w:val="left"/>
      <w:pPr>
        <w:ind w:left="3559" w:hanging="284"/>
      </w:pPr>
      <w:rPr>
        <w:rFonts w:hint="default"/>
        <w:lang w:val="en-GB" w:eastAsia="en-GB" w:bidi="en-GB"/>
      </w:rPr>
    </w:lvl>
    <w:lvl w:ilvl="4" w:tplc="534E4966">
      <w:numFmt w:val="bullet"/>
      <w:lvlText w:val="•"/>
      <w:lvlJc w:val="left"/>
      <w:pPr>
        <w:ind w:left="4379" w:hanging="284"/>
      </w:pPr>
      <w:rPr>
        <w:rFonts w:hint="default"/>
        <w:lang w:val="en-GB" w:eastAsia="en-GB" w:bidi="en-GB"/>
      </w:rPr>
    </w:lvl>
    <w:lvl w:ilvl="5" w:tplc="46AA7C08">
      <w:numFmt w:val="bullet"/>
      <w:lvlText w:val="•"/>
      <w:lvlJc w:val="left"/>
      <w:pPr>
        <w:ind w:left="5199" w:hanging="284"/>
      </w:pPr>
      <w:rPr>
        <w:rFonts w:hint="default"/>
        <w:lang w:val="en-GB" w:eastAsia="en-GB" w:bidi="en-GB"/>
      </w:rPr>
    </w:lvl>
    <w:lvl w:ilvl="6" w:tplc="DC483A48">
      <w:numFmt w:val="bullet"/>
      <w:lvlText w:val="•"/>
      <w:lvlJc w:val="left"/>
      <w:pPr>
        <w:ind w:left="6018" w:hanging="284"/>
      </w:pPr>
      <w:rPr>
        <w:rFonts w:hint="default"/>
        <w:lang w:val="en-GB" w:eastAsia="en-GB" w:bidi="en-GB"/>
      </w:rPr>
    </w:lvl>
    <w:lvl w:ilvl="7" w:tplc="5942C574">
      <w:numFmt w:val="bullet"/>
      <w:lvlText w:val="•"/>
      <w:lvlJc w:val="left"/>
      <w:pPr>
        <w:ind w:left="6838" w:hanging="284"/>
      </w:pPr>
      <w:rPr>
        <w:rFonts w:hint="default"/>
        <w:lang w:val="en-GB" w:eastAsia="en-GB" w:bidi="en-GB"/>
      </w:rPr>
    </w:lvl>
    <w:lvl w:ilvl="8" w:tplc="8ED61EEA">
      <w:numFmt w:val="bullet"/>
      <w:lvlText w:val="•"/>
      <w:lvlJc w:val="left"/>
      <w:pPr>
        <w:ind w:left="7658" w:hanging="284"/>
      </w:pPr>
      <w:rPr>
        <w:rFonts w:hint="default"/>
        <w:lang w:val="en-GB" w:eastAsia="en-GB" w:bidi="en-GB"/>
      </w:rPr>
    </w:lvl>
  </w:abstractNum>
  <w:abstractNum w:abstractNumId="1">
    <w:nsid w:val="496A2005"/>
    <w:multiLevelType w:val="multilevel"/>
    <w:tmpl w:val="6DBC367C"/>
    <w:lvl w:ilvl="0">
      <w:start w:val="20"/>
      <w:numFmt w:val="upperLetter"/>
      <w:lvlText w:val="%1"/>
      <w:lvlJc w:val="left"/>
      <w:pPr>
        <w:ind w:left="750" w:hanging="634"/>
      </w:pPr>
      <w:rPr>
        <w:rFonts w:hint="default"/>
      </w:rPr>
    </w:lvl>
    <w:lvl w:ilvl="1">
      <w:start w:val="3"/>
      <w:numFmt w:val="upperLetter"/>
      <w:lvlText w:val="%1.%2."/>
      <w:lvlJc w:val="left"/>
      <w:pPr>
        <w:ind w:left="4604" w:hanging="634"/>
      </w:pPr>
      <w:rPr>
        <w:rFonts w:ascii="Times New Roman" w:eastAsia="Times New Roman" w:hAnsi="Times New Roman" w:cs="Times New Roman" w:hint="default"/>
        <w:b/>
        <w:bCs/>
        <w:w w:val="99"/>
        <w:sz w:val="24"/>
        <w:szCs w:val="24"/>
      </w:rPr>
    </w:lvl>
    <w:lvl w:ilvl="2">
      <w:start w:val="1"/>
      <w:numFmt w:val="decimal"/>
      <w:lvlText w:val="%3-"/>
      <w:lvlJc w:val="left"/>
      <w:pPr>
        <w:ind w:left="116" w:hanging="260"/>
      </w:pPr>
      <w:rPr>
        <w:rFonts w:ascii="Times New Roman" w:eastAsia="Times New Roman" w:hAnsi="Times New Roman" w:cs="Times New Roman" w:hint="default"/>
        <w:b/>
        <w:bCs/>
        <w:w w:val="100"/>
        <w:sz w:val="24"/>
        <w:szCs w:val="24"/>
      </w:rPr>
    </w:lvl>
    <w:lvl w:ilvl="3">
      <w:numFmt w:val="bullet"/>
      <w:lvlText w:val="•"/>
      <w:lvlJc w:val="left"/>
      <w:pPr>
        <w:ind w:left="2650" w:hanging="260"/>
      </w:pPr>
      <w:rPr>
        <w:rFonts w:hint="default"/>
      </w:rPr>
    </w:lvl>
    <w:lvl w:ilvl="4">
      <w:numFmt w:val="bullet"/>
      <w:lvlText w:val="•"/>
      <w:lvlJc w:val="left"/>
      <w:pPr>
        <w:ind w:left="3595" w:hanging="260"/>
      </w:pPr>
      <w:rPr>
        <w:rFonts w:hint="default"/>
      </w:rPr>
    </w:lvl>
    <w:lvl w:ilvl="5">
      <w:numFmt w:val="bullet"/>
      <w:lvlText w:val="•"/>
      <w:lvlJc w:val="left"/>
      <w:pPr>
        <w:ind w:left="4540" w:hanging="260"/>
      </w:pPr>
      <w:rPr>
        <w:rFonts w:hint="default"/>
      </w:rPr>
    </w:lvl>
    <w:lvl w:ilvl="6">
      <w:numFmt w:val="bullet"/>
      <w:lvlText w:val="•"/>
      <w:lvlJc w:val="left"/>
      <w:pPr>
        <w:ind w:left="5485" w:hanging="260"/>
      </w:pPr>
      <w:rPr>
        <w:rFonts w:hint="default"/>
      </w:rPr>
    </w:lvl>
    <w:lvl w:ilvl="7">
      <w:numFmt w:val="bullet"/>
      <w:lvlText w:val="•"/>
      <w:lvlJc w:val="left"/>
      <w:pPr>
        <w:ind w:left="6430" w:hanging="260"/>
      </w:pPr>
      <w:rPr>
        <w:rFonts w:hint="default"/>
      </w:rPr>
    </w:lvl>
    <w:lvl w:ilvl="8">
      <w:numFmt w:val="bullet"/>
      <w:lvlText w:val="•"/>
      <w:lvlJc w:val="left"/>
      <w:pPr>
        <w:ind w:left="7376" w:hanging="2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0B569C"/>
    <w:rsid w:val="000B569C"/>
    <w:rsid w:val="002153F3"/>
    <w:rsid w:val="00282BA8"/>
    <w:rsid w:val="003C0067"/>
    <w:rsid w:val="003D2AC6"/>
    <w:rsid w:val="004402CF"/>
    <w:rsid w:val="00454A24"/>
    <w:rsid w:val="00586098"/>
    <w:rsid w:val="00DF4E40"/>
    <w:rsid w:val="00F620CD"/>
    <w:rsid w:val="00FB55E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569C"/>
    <w:pPr>
      <w:widowControl w:val="0"/>
      <w:autoSpaceDE w:val="0"/>
      <w:autoSpaceDN w:val="0"/>
      <w:spacing w:after="0" w:line="240" w:lineRule="auto"/>
    </w:pPr>
    <w:rPr>
      <w:rFonts w:ascii="Arial Narrow" w:eastAsia="Arial Narrow" w:hAnsi="Arial Narrow" w:cs="Arial Narrow"/>
      <w:lang w:val="en-GB" w:eastAsia="en-GB" w:bidi="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0B569C"/>
    <w:rPr>
      <w:sz w:val="20"/>
      <w:szCs w:val="20"/>
    </w:rPr>
  </w:style>
  <w:style w:type="character" w:customStyle="1" w:styleId="GvdeMetniChar">
    <w:name w:val="Gövde Metni Char"/>
    <w:basedOn w:val="VarsaylanParagrafYazTipi"/>
    <w:link w:val="GvdeMetni"/>
    <w:uiPriority w:val="1"/>
    <w:rsid w:val="000B569C"/>
    <w:rPr>
      <w:rFonts w:ascii="Arial Narrow" w:eastAsia="Arial Narrow" w:hAnsi="Arial Narrow" w:cs="Arial Narrow"/>
      <w:sz w:val="20"/>
      <w:szCs w:val="20"/>
      <w:lang w:val="en-GB" w:eastAsia="en-GB" w:bidi="en-GB"/>
    </w:rPr>
  </w:style>
  <w:style w:type="paragraph" w:customStyle="1" w:styleId="Balk21">
    <w:name w:val="Başlık 21"/>
    <w:basedOn w:val="Normal"/>
    <w:uiPriority w:val="1"/>
    <w:qFormat/>
    <w:rsid w:val="000B569C"/>
    <w:pPr>
      <w:spacing w:before="45"/>
      <w:ind w:left="1644"/>
      <w:outlineLvl w:val="2"/>
    </w:pPr>
    <w:rPr>
      <w:rFonts w:ascii="Trebuchet MS" w:eastAsia="Trebuchet MS" w:hAnsi="Trebuchet MS" w:cs="Trebuchet MS"/>
      <w:b/>
      <w:bCs/>
      <w:sz w:val="28"/>
      <w:szCs w:val="28"/>
    </w:rPr>
  </w:style>
  <w:style w:type="paragraph" w:customStyle="1" w:styleId="Balk61">
    <w:name w:val="Başlık 61"/>
    <w:basedOn w:val="Normal"/>
    <w:uiPriority w:val="1"/>
    <w:qFormat/>
    <w:rsid w:val="000B569C"/>
    <w:pPr>
      <w:ind w:left="793"/>
      <w:outlineLvl w:val="6"/>
    </w:pPr>
    <w:rPr>
      <w:rFonts w:ascii="Trebuchet MS" w:eastAsia="Trebuchet MS" w:hAnsi="Trebuchet MS" w:cs="Trebuchet MS"/>
      <w:b/>
      <w:bCs/>
      <w:sz w:val="20"/>
      <w:szCs w:val="20"/>
    </w:rPr>
  </w:style>
  <w:style w:type="paragraph" w:styleId="ListeParagraf">
    <w:name w:val="List Paragraph"/>
    <w:basedOn w:val="Normal"/>
    <w:uiPriority w:val="1"/>
    <w:qFormat/>
    <w:rsid w:val="000B569C"/>
    <w:pPr>
      <w:ind w:left="1927" w:hanging="283"/>
    </w:pPr>
  </w:style>
  <w:style w:type="paragraph" w:styleId="stbilgi">
    <w:name w:val="header"/>
    <w:basedOn w:val="Normal"/>
    <w:link w:val="stbilgiChar"/>
    <w:uiPriority w:val="99"/>
    <w:unhideWhenUsed/>
    <w:rsid w:val="000B569C"/>
    <w:pPr>
      <w:tabs>
        <w:tab w:val="center" w:pos="4536"/>
        <w:tab w:val="right" w:pos="9072"/>
      </w:tabs>
    </w:pPr>
  </w:style>
  <w:style w:type="character" w:customStyle="1" w:styleId="stbilgiChar">
    <w:name w:val="Üstbilgi Char"/>
    <w:basedOn w:val="VarsaylanParagrafYazTipi"/>
    <w:link w:val="stbilgi"/>
    <w:uiPriority w:val="99"/>
    <w:rsid w:val="000B569C"/>
    <w:rPr>
      <w:rFonts w:ascii="Arial Narrow" w:eastAsia="Arial Narrow" w:hAnsi="Arial Narrow" w:cs="Arial Narrow"/>
      <w:lang w:val="en-GB" w:eastAsia="en-GB" w:bidi="en-GB"/>
    </w:rPr>
  </w:style>
  <w:style w:type="paragraph" w:styleId="Altbilgi">
    <w:name w:val="footer"/>
    <w:basedOn w:val="Normal"/>
    <w:link w:val="AltbilgiChar"/>
    <w:uiPriority w:val="99"/>
    <w:unhideWhenUsed/>
    <w:rsid w:val="000B569C"/>
    <w:pPr>
      <w:tabs>
        <w:tab w:val="center" w:pos="4536"/>
        <w:tab w:val="right" w:pos="9072"/>
      </w:tabs>
    </w:pPr>
  </w:style>
  <w:style w:type="character" w:customStyle="1" w:styleId="AltbilgiChar">
    <w:name w:val="Altbilgi Char"/>
    <w:basedOn w:val="VarsaylanParagrafYazTipi"/>
    <w:link w:val="Altbilgi"/>
    <w:uiPriority w:val="99"/>
    <w:rsid w:val="000B569C"/>
    <w:rPr>
      <w:rFonts w:ascii="Arial Narrow" w:eastAsia="Arial Narrow" w:hAnsi="Arial Narrow" w:cs="Arial Narrow"/>
      <w:lang w:val="en-GB" w:eastAsia="en-GB" w:bidi="en-GB"/>
    </w:rPr>
  </w:style>
  <w:style w:type="paragraph" w:customStyle="1" w:styleId="T31">
    <w:name w:val="İÇT 31"/>
    <w:basedOn w:val="Normal"/>
    <w:uiPriority w:val="1"/>
    <w:qFormat/>
    <w:rsid w:val="000B569C"/>
    <w:pPr>
      <w:spacing w:before="99"/>
      <w:ind w:left="2211"/>
    </w:pPr>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73005-E52E-4FDF-ADC5-FA40262E8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330</Words>
  <Characters>1884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AB142329</cp:lastModifiedBy>
  <cp:revision>5</cp:revision>
  <cp:lastPrinted>2017-12-29T08:40:00Z</cp:lastPrinted>
  <dcterms:created xsi:type="dcterms:W3CDTF">2017-12-28T21:58:00Z</dcterms:created>
  <dcterms:modified xsi:type="dcterms:W3CDTF">2017-12-29T08:40:00Z</dcterms:modified>
</cp:coreProperties>
</file>